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0" w:after="40"/>
      </w:pPr>
      <w:r>
        <w:rPr>
          <w:rFonts w:ascii="Arial" w:hAnsi="Arial"/>
          <w:b/>
          <w:color w:val="2B2F38"/>
          <w:sz w:val="36"/>
        </w:rPr>
        <w:t>Funding Your New Business</w:t>
      </w:r>
    </w:p>
    <w:p>
      <w:pPr>
        <w:spacing w:before="0" w:after="280"/>
      </w:pPr>
      <w:r>
        <w:rPr>
          <w:rFonts w:ascii="Arial" w:hAnsi="Arial"/>
          <w:color w:val="6B7280"/>
          <w:sz w:val="19"/>
        </w:rPr>
        <w:t>Building your business is like building a house – you need a solid financial foundation to ensure you complete the project without running out of steam. Use this worksheet to evaluate capital requirements, assess viable funding channels, and prepare an actionable capital acquisition plan.</w:t>
      </w:r>
    </w:p>
    <w:p>
      <w:pPr>
        <w:keepNext/>
        <w:spacing w:before="280" w:after="80"/>
      </w:pPr>
      <w:r>
        <w:rPr>
          <w:rFonts w:ascii="Arial" w:hAnsi="Arial"/>
          <w:b/>
          <w:color w:val="2B2F38"/>
          <w:sz w:val="23"/>
        </w:rPr>
        <w:t>1. Revisit Your Financial Projections: What Do You Need?</w:t>
      </w:r>
    </w:p>
    <w:tbl>
      <w:tblPr>
        <w:tblW w:type="auto" w:w="0"/>
        <w:jc w:val="center"/>
        <w:tblLayout w:type="fixed"/>
        <w:tblLook w:firstColumn="1" w:firstRow="1" w:lastColumn="0" w:lastRow="0" w:noHBand="0" w:noVBand="1" w:val="04A0"/>
        <w:tblBorders>
          <w:top w:val="none"/>
          <w:bottom w:val="none"/>
          <w:left w:val="single" w:sz="24" w:space="0" w:color="D4A243"/>
          <w:right w:val="none"/>
          <w:insideH w:val="none"/>
          <w:insideV w:val="none"/>
        </w:tblBorders>
      </w:tblPr>
      <w:tblGrid>
        <w:gridCol w:w="9605"/>
      </w:tblGrid>
      <w:tr>
        <w:tc>
          <w:tcPr>
            <w:tcW w:type="dxa" w:w="9605"/>
            <w:shd w:fill="F4F5F7"/>
            <w:tcMar>
              <w:top w:w="80" w:type="dxa"/>
              <w:bottom w:w="80" w:type="dxa"/>
              <w:left w:w="120" w:type="dxa"/>
              <w:right w:w="120" w:type="dxa"/>
            </w:tcMar>
          </w:tcPr>
          <w:p>
            <w:pPr>
              <w:spacing w:before="0" w:after="0"/>
            </w:pPr>
            <w:r>
              <w:rPr>
                <w:rFonts w:ascii="Arial" w:hAnsi="Arial"/>
                <w:b/>
                <w:color w:val="D4A243"/>
                <w:sz w:val="18"/>
              </w:rPr>
              <w:t xml:space="preserve">PROMPT: </w:t>
            </w:r>
            <w:r>
              <w:rPr>
                <w:rFonts w:ascii="Arial" w:hAnsi="Arial"/>
                <w:i/>
                <w:color w:val="2B2F38"/>
                <w:sz w:val="18"/>
              </w:rPr>
              <w:t>Before approaching any funder or dipping into savings, you must know your exact capital requirements. Refer back to your Financial Planning Template and Break-even Analysis Spreadsheet from Phase 1.</w:t>
            </w:r>
          </w:p>
        </w:tc>
      </w:tr>
    </w:tbl>
    <w:p>
      <w:pPr>
        <w:spacing w:before="0" w:after="80"/>
      </w:pPr>
    </w:p>
    <w:tbl>
      <w:tblPr>
        <w:tblW w:type="auto" w:w="0"/>
        <w:jc w:val="center"/>
        <w:tblLayout w:type="fixed"/>
        <w:tblLook w:firstColumn="1" w:firstRow="1" w:lastColumn="0" w:lastRow="0" w:noHBand="0" w:noVBand="1" w:val="04A0"/>
        <w:tblBorders>
          <w:top w:val="single" w:sz="4" w:space="0" w:color="D1D5DB"/>
          <w:bottom w:val="single" w:sz="4" w:space="0" w:color="D1D5DB"/>
          <w:left w:val="none"/>
          <w:right w:val="none"/>
          <w:insideH w:val="single" w:sz="4" w:space="0" w:color="D1D5DB"/>
          <w:insideV w:val="none"/>
        </w:tblBorders>
      </w:tblPr>
      <w:tblGrid>
        <w:gridCol w:w="864"/>
        <w:gridCol w:w="6192"/>
        <w:gridCol w:w="2549"/>
      </w:tblGrid>
      <w:tr>
        <w:tc>
          <w:tcPr>
            <w:tcW w:type="dxa" w:w="3202"/>
            <w:shd w:fill="E5E7EB"/>
            <w:tcMar>
              <w:top w:w="100" w:type="dxa"/>
              <w:bottom w:w="100" w:type="dxa"/>
              <w:left w:w="100" w:type="dxa"/>
              <w:right w:w="100" w:type="dxa"/>
            </w:tcMar>
          </w:tcPr>
          <w:p>
            <w:pPr>
              <w:jc w:val="center"/>
            </w:pPr>
            <w:r>
              <w:rPr>
                <w:rFonts w:ascii="Arial" w:hAnsi="Arial"/>
                <w:b/>
                <w:color w:val="2B2F38"/>
                <w:sz w:val="18"/>
              </w:rPr>
              <w:t>#</w:t>
            </w:r>
          </w:p>
        </w:tc>
        <w:tc>
          <w:tcPr>
            <w:tcW w:type="dxa" w:w="3202"/>
            <w:shd w:fill="E5E7EB"/>
            <w:tcMar>
              <w:top w:w="100" w:type="dxa"/>
              <w:bottom w:w="100" w:type="dxa"/>
              <w:left w:w="100" w:type="dxa"/>
              <w:right w:w="100" w:type="dxa"/>
            </w:tcMar>
          </w:tcPr>
          <w:p>
            <w:pPr>
              <w:jc w:val="left"/>
            </w:pPr>
            <w:r>
              <w:rPr>
                <w:rFonts w:ascii="Arial" w:hAnsi="Arial"/>
                <w:b/>
                <w:color w:val="2B2F38"/>
                <w:sz w:val="18"/>
              </w:rPr>
              <w:t>Funding Component / Description</w:t>
            </w:r>
          </w:p>
        </w:tc>
        <w:tc>
          <w:tcPr>
            <w:tcW w:type="dxa" w:w="3202"/>
            <w:shd w:fill="E5E7EB"/>
            <w:tcMar>
              <w:top w:w="100" w:type="dxa"/>
              <w:bottom w:w="100" w:type="dxa"/>
              <w:left w:w="100" w:type="dxa"/>
              <w:right w:w="100" w:type="dxa"/>
            </w:tcMar>
          </w:tcPr>
          <w:p>
            <w:pPr>
              <w:jc w:val="center"/>
            </w:pPr>
            <w:r>
              <w:rPr>
                <w:rFonts w:ascii="Arial" w:hAnsi="Arial"/>
                <w:b/>
                <w:color w:val="2B2F38"/>
                <w:sz w:val="18"/>
              </w:rPr>
              <w:t>Estimated Amount (ZAR)</w:t>
            </w:r>
          </w:p>
        </w:tc>
      </w:tr>
      <w:tr>
        <w:tc>
          <w:tcPr>
            <w:tcW w:type="dxa" w:w="3202"/>
            <w:tcMar>
              <w:top w:w="120" w:type="dxa"/>
              <w:bottom w:w="120" w:type="dxa"/>
              <w:left w:w="100" w:type="dxa"/>
              <w:right w:w="100" w:type="dxa"/>
            </w:tcMar>
          </w:tcPr>
          <w:p>
            <w:pPr>
              <w:jc w:val="center"/>
            </w:pPr>
            <w:r>
              <w:rPr>
                <w:rFonts w:ascii="Arial" w:hAnsi="Arial"/>
                <w:b/>
                <w:color w:val="D4A243"/>
                <w:sz w:val="18"/>
              </w:rPr>
              <w:t>01</w:t>
            </w:r>
          </w:p>
        </w:tc>
        <w:tc>
          <w:tcPr>
            <w:tcW w:type="dxa" w:w="3202"/>
            <w:tcMar>
              <w:top w:w="120" w:type="dxa"/>
              <w:bottom w:w="120" w:type="dxa"/>
              <w:left w:w="100" w:type="dxa"/>
              <w:right w:w="100" w:type="dxa"/>
            </w:tcMar>
          </w:tcPr>
          <w:p>
            <w:r>
              <w:rPr>
                <w:rFonts w:ascii="Arial" w:hAnsi="Arial"/>
                <w:b/>
                <w:color w:val="2B2F38"/>
                <w:sz w:val="18"/>
              </w:rPr>
              <w:t>Total Startup Costs (Initial Investment)</w:t>
              <w:br/>
            </w:r>
            <w:r>
              <w:rPr>
                <w:rFonts w:ascii="Arial" w:hAnsi="Arial"/>
                <w:color w:val="6B7280"/>
                <w:sz w:val="16"/>
              </w:rPr>
              <w:t>Equipment, licensing, branding, legal fees, website, initial setup.</w:t>
              <w:br/>
            </w:r>
          </w:p>
        </w:tc>
        <w:tc>
          <w:tcPr>
            <w:tcW w:type="dxa" w:w="3202"/>
            <w:tcMar>
              <w:top w:w="120" w:type="dxa"/>
              <w:bottom w:w="120" w:type="dxa"/>
              <w:left w:w="100" w:type="dxa"/>
              <w:right w:w="100" w:type="dxa"/>
            </w:tcMar>
          </w:tcPr>
          <w:p>
            <w:r>
              <w:rPr>
                <w:rFonts w:ascii="Arial" w:hAnsi="Arial"/>
                <w:b/>
                <w:color w:val="2B2F38"/>
                <w:sz w:val="18"/>
              </w:rPr>
              <w:t>R _______________</w:t>
            </w:r>
          </w:p>
        </w:tc>
      </w:tr>
      <w:tr>
        <w:tc>
          <w:tcPr>
            <w:tcW w:type="dxa" w:w="3202"/>
            <w:tcMar>
              <w:top w:w="120" w:type="dxa"/>
              <w:bottom w:w="120" w:type="dxa"/>
              <w:left w:w="100" w:type="dxa"/>
              <w:right w:w="100" w:type="dxa"/>
            </w:tcMar>
          </w:tcPr>
          <w:p>
            <w:pPr>
              <w:jc w:val="center"/>
            </w:pPr>
            <w:r>
              <w:rPr>
                <w:rFonts w:ascii="Arial" w:hAnsi="Arial"/>
                <w:b/>
                <w:color w:val="D4A243"/>
                <w:sz w:val="18"/>
              </w:rPr>
              <w:t>02</w:t>
            </w:r>
          </w:p>
        </w:tc>
        <w:tc>
          <w:tcPr>
            <w:tcW w:type="dxa" w:w="3202"/>
            <w:tcMar>
              <w:top w:w="120" w:type="dxa"/>
              <w:bottom w:w="120" w:type="dxa"/>
              <w:left w:w="100" w:type="dxa"/>
              <w:right w:w="100" w:type="dxa"/>
            </w:tcMar>
          </w:tcPr>
          <w:p>
            <w:r>
              <w:rPr>
                <w:rFonts w:ascii="Arial" w:hAnsi="Arial"/>
                <w:b/>
                <w:color w:val="2B2F38"/>
                <w:sz w:val="18"/>
              </w:rPr>
              <w:t>Monthly Operating Expenses (Burn Rate)</w:t>
              <w:br/>
            </w:r>
            <w:r>
              <w:rPr>
                <w:rFonts w:ascii="Arial" w:hAnsi="Arial"/>
                <w:color w:val="6B7280"/>
                <w:sz w:val="16"/>
              </w:rPr>
              <w:t>Estimated monthly fixed &amp; variable expenses (rent, salaries, utilities, marketing).</w:t>
              <w:br/>
            </w:r>
          </w:p>
        </w:tc>
        <w:tc>
          <w:tcPr>
            <w:tcW w:type="dxa" w:w="3202"/>
            <w:tcMar>
              <w:top w:w="120" w:type="dxa"/>
              <w:bottom w:w="120" w:type="dxa"/>
              <w:left w:w="100" w:type="dxa"/>
              <w:right w:w="100" w:type="dxa"/>
            </w:tcMar>
          </w:tcPr>
          <w:p>
            <w:r>
              <w:rPr>
                <w:rFonts w:ascii="Arial" w:hAnsi="Arial"/>
                <w:b/>
                <w:color w:val="2B2F38"/>
                <w:sz w:val="18"/>
              </w:rPr>
              <w:t>R / month_______________</w:t>
            </w:r>
          </w:p>
        </w:tc>
      </w:tr>
      <w:tr>
        <w:tc>
          <w:tcPr>
            <w:tcW w:type="dxa" w:w="3202"/>
            <w:tcMar>
              <w:top w:w="120" w:type="dxa"/>
              <w:bottom w:w="120" w:type="dxa"/>
              <w:left w:w="100" w:type="dxa"/>
              <w:right w:w="100" w:type="dxa"/>
            </w:tcMar>
          </w:tcPr>
          <w:p>
            <w:pPr>
              <w:jc w:val="center"/>
            </w:pPr>
            <w:r>
              <w:rPr>
                <w:rFonts w:ascii="Arial" w:hAnsi="Arial"/>
                <w:b/>
                <w:color w:val="D4A243"/>
                <w:sz w:val="18"/>
              </w:rPr>
              <w:t>03</w:t>
            </w:r>
          </w:p>
        </w:tc>
        <w:tc>
          <w:tcPr>
            <w:tcW w:type="dxa" w:w="3202"/>
            <w:tcMar>
              <w:top w:w="120" w:type="dxa"/>
              <w:bottom w:w="120" w:type="dxa"/>
              <w:left w:w="100" w:type="dxa"/>
              <w:right w:w="100" w:type="dxa"/>
            </w:tcMar>
          </w:tcPr>
          <w:p>
            <w:r>
              <w:rPr>
                <w:rFonts w:ascii="Arial" w:hAnsi="Arial"/>
                <w:b/>
                <w:color w:val="2B2F38"/>
                <w:sz w:val="18"/>
              </w:rPr>
              <w:t>Working Capital Buffer (Runway)</w:t>
              <w:br/>
            </w:r>
            <w:r>
              <w:rPr>
                <w:rFonts w:ascii="Arial" w:hAnsi="Arial"/>
                <w:color w:val="6B7280"/>
                <w:sz w:val="16"/>
              </w:rPr>
              <w:t>Buffer required to sustain operations before breaking even (recommend 3–6 months).</w:t>
              <w:br/>
            </w:r>
            <w:r>
              <w:rPr>
                <w:rFonts w:ascii="Arial" w:hAnsi="Arial"/>
                <w:color w:val="6B7280"/>
                <w:sz w:val="16"/>
              </w:rPr>
              <w:t>Formula: [Monthly Expenses] × [Number of Months: ___ ]</w:t>
              <w:br/>
            </w:r>
          </w:p>
        </w:tc>
        <w:tc>
          <w:tcPr>
            <w:tcW w:type="dxa" w:w="3202"/>
            <w:tcMar>
              <w:top w:w="120" w:type="dxa"/>
              <w:bottom w:w="120" w:type="dxa"/>
              <w:left w:w="100" w:type="dxa"/>
              <w:right w:w="100" w:type="dxa"/>
            </w:tcMar>
          </w:tcPr>
          <w:p>
            <w:r>
              <w:rPr>
                <w:rFonts w:ascii="Arial" w:hAnsi="Arial"/>
                <w:b/>
                <w:color w:val="2B2F38"/>
                <w:sz w:val="18"/>
              </w:rPr>
              <w:t>R _______________</w:t>
            </w:r>
          </w:p>
        </w:tc>
      </w:tr>
      <w:tr>
        <w:tc>
          <w:tcPr>
            <w:tcW w:type="dxa" w:w="3202"/>
            <w:tcMar>
              <w:top w:w="120" w:type="dxa"/>
              <w:bottom w:w="120" w:type="dxa"/>
              <w:left w:w="100" w:type="dxa"/>
              <w:right w:w="100" w:type="dxa"/>
            </w:tcMar>
          </w:tcPr>
          <w:p>
            <w:pPr>
              <w:jc w:val="center"/>
            </w:pPr>
            <w:r>
              <w:rPr>
                <w:rFonts w:ascii="Arial" w:hAnsi="Arial"/>
                <w:b/>
                <w:color w:val="D4A243"/>
                <w:sz w:val="18"/>
              </w:rPr>
              <w:t>04</w:t>
            </w:r>
          </w:p>
        </w:tc>
        <w:tc>
          <w:tcPr>
            <w:tcW w:type="dxa" w:w="3202"/>
            <w:tcMar>
              <w:top w:w="120" w:type="dxa"/>
              <w:bottom w:w="120" w:type="dxa"/>
              <w:left w:w="100" w:type="dxa"/>
              <w:right w:w="100" w:type="dxa"/>
            </w:tcMar>
          </w:tcPr>
          <w:p>
            <w:r>
              <w:rPr>
                <w:rFonts w:ascii="Arial" w:hAnsi="Arial"/>
                <w:b/>
                <w:color w:val="2B2F38"/>
                <w:sz w:val="18"/>
              </w:rPr>
              <w:t>Total Target Funding Required</w:t>
              <w:br/>
            </w:r>
            <w:r>
              <w:rPr>
                <w:rFonts w:ascii="Arial" w:hAnsi="Arial"/>
                <w:color w:val="6B7280"/>
                <w:sz w:val="16"/>
              </w:rPr>
              <w:t>Total Startup Costs + Working Capital Buffer (Your core capital target).</w:t>
              <w:br/>
            </w:r>
          </w:p>
        </w:tc>
        <w:tc>
          <w:tcPr>
            <w:tcW w:type="dxa" w:w="3202"/>
            <w:tcMar>
              <w:top w:w="120" w:type="dxa"/>
              <w:bottom w:w="120" w:type="dxa"/>
              <w:left w:w="100" w:type="dxa"/>
              <w:right w:w="100" w:type="dxa"/>
            </w:tcMar>
            <w:shd w:fill="FEF3C7"/>
          </w:tcPr>
          <w:p>
            <w:r>
              <w:rPr>
                <w:rFonts w:ascii="Arial" w:hAnsi="Arial"/>
                <w:b/>
                <w:color w:val="2B2F38"/>
                <w:sz w:val="18"/>
              </w:rPr>
              <w:t>R _______________</w:t>
            </w:r>
          </w:p>
        </w:tc>
      </w:tr>
    </w:tbl>
    <w:p>
      <w:pPr>
        <w:spacing w:before="80" w:after="40"/>
      </w:pPr>
    </w:p>
    <w:p>
      <w:pPr>
        <w:keepNext/>
        <w:spacing w:before="280" w:after="80"/>
      </w:pPr>
      <w:r>
        <w:rPr>
          <w:rFonts w:ascii="Arial" w:hAnsi="Arial"/>
          <w:b/>
          <w:color w:val="2B2F38"/>
          <w:sz w:val="23"/>
        </w:rPr>
        <w:t>2. Exploring General Funding Types: Which Suit Your Business?</w:t>
      </w:r>
    </w:p>
    <w:tbl>
      <w:tblPr>
        <w:tblW w:type="auto" w:w="0"/>
        <w:jc w:val="center"/>
        <w:tblLayout w:type="fixed"/>
        <w:tblLook w:firstColumn="1" w:firstRow="1" w:lastColumn="0" w:lastRow="0" w:noHBand="0" w:noVBand="1" w:val="04A0"/>
        <w:tblBorders>
          <w:top w:val="none"/>
          <w:bottom w:val="none"/>
          <w:left w:val="single" w:sz="24" w:space="0" w:color="D4A243"/>
          <w:right w:val="none"/>
          <w:insideH w:val="none"/>
          <w:insideV w:val="none"/>
        </w:tblBorders>
      </w:tblPr>
      <w:tblGrid>
        <w:gridCol w:w="9605"/>
      </w:tblGrid>
      <w:tr>
        <w:tc>
          <w:tcPr>
            <w:tcW w:type="dxa" w:w="9605"/>
            <w:shd w:fill="F4F5F7"/>
            <w:tcMar>
              <w:top w:w="80" w:type="dxa"/>
              <w:bottom w:w="80" w:type="dxa"/>
              <w:left w:w="120" w:type="dxa"/>
              <w:right w:w="120" w:type="dxa"/>
            </w:tcMar>
          </w:tcPr>
          <w:p>
            <w:pPr>
              <w:spacing w:before="0" w:after="0"/>
            </w:pPr>
            <w:r>
              <w:rPr>
                <w:rFonts w:ascii="Arial" w:hAnsi="Arial"/>
                <w:b/>
                <w:color w:val="D4A243"/>
                <w:sz w:val="18"/>
              </w:rPr>
              <w:t xml:space="preserve">PROMPT: </w:t>
            </w:r>
            <w:r>
              <w:rPr>
                <w:rFonts w:ascii="Arial" w:hAnsi="Arial"/>
                <w:i/>
                <w:color w:val="2B2F38"/>
                <w:sz w:val="18"/>
              </w:rPr>
              <w:t>Different capital sources carry distinct obligations, costs, and equity expectations. Review each method below to determine fit for your operating model.</w:t>
            </w:r>
          </w:p>
        </w:tc>
      </w:tr>
    </w:tbl>
    <w:p>
      <w:pPr>
        <w:spacing w:before="0" w:after="80"/>
      </w:pPr>
    </w:p>
    <w:tbl>
      <w:tblPr>
        <w:tblW w:type="auto" w:w="0"/>
        <w:jc w:val="center"/>
        <w:tblLayout w:type="fixed"/>
        <w:tblLook w:firstColumn="1" w:firstRow="1" w:lastColumn="0" w:lastRow="0" w:noHBand="0" w:noVBand="1" w:val="04A0"/>
        <w:tblBorders>
          <w:top w:val="single" w:sz="4" w:space="0" w:color="D1D5DB"/>
          <w:bottom w:val="single" w:sz="4" w:space="0" w:color="D1D5DB"/>
          <w:left w:val="none"/>
          <w:right w:val="none"/>
          <w:insideH w:val="single" w:sz="4" w:space="0" w:color="D1D5DB"/>
          <w:insideV w:val="none"/>
        </w:tblBorders>
      </w:tblPr>
      <w:tblGrid>
        <w:gridCol w:w="2592"/>
        <w:gridCol w:w="3888"/>
        <w:gridCol w:w="1829"/>
        <w:gridCol w:w="1296"/>
      </w:tblGrid>
      <w:tr>
        <w:tc>
          <w:tcPr>
            <w:tcW w:type="dxa" w:w="2401"/>
            <w:shd w:fill="E5E7EB"/>
            <w:tcMar>
              <w:top w:w="100" w:type="dxa"/>
              <w:bottom w:w="100" w:type="dxa"/>
              <w:left w:w="100" w:type="dxa"/>
              <w:right w:w="100" w:type="dxa"/>
            </w:tcMar>
          </w:tcPr>
          <w:p>
            <w:pPr>
              <w:jc w:val="left"/>
            </w:pPr>
            <w:r>
              <w:rPr>
                <w:rFonts w:ascii="Arial" w:hAnsi="Arial"/>
                <w:b/>
                <w:color w:val="2B2F38"/>
                <w:sz w:val="18"/>
              </w:rPr>
              <w:t>Funding Type</w:t>
            </w:r>
          </w:p>
        </w:tc>
        <w:tc>
          <w:tcPr>
            <w:tcW w:type="dxa" w:w="2401"/>
            <w:shd w:fill="E5E7EB"/>
            <w:tcMar>
              <w:top w:w="100" w:type="dxa"/>
              <w:bottom w:w="100" w:type="dxa"/>
              <w:left w:w="100" w:type="dxa"/>
              <w:right w:w="100" w:type="dxa"/>
            </w:tcMar>
          </w:tcPr>
          <w:p>
            <w:pPr>
              <w:jc w:val="left"/>
            </w:pPr>
            <w:r>
              <w:rPr>
                <w:rFonts w:ascii="Arial" w:hAnsi="Arial"/>
                <w:b/>
                <w:color w:val="2B2F38"/>
                <w:sz w:val="18"/>
              </w:rPr>
              <w:t>When to Consider / Typical Fit</w:t>
            </w:r>
          </w:p>
        </w:tc>
        <w:tc>
          <w:tcPr>
            <w:tcW w:type="dxa" w:w="2401"/>
            <w:shd w:fill="E5E7EB"/>
            <w:tcMar>
              <w:top w:w="100" w:type="dxa"/>
              <w:bottom w:w="100" w:type="dxa"/>
              <w:left w:w="100" w:type="dxa"/>
              <w:right w:w="100" w:type="dxa"/>
            </w:tcMar>
          </w:tcPr>
          <w:p>
            <w:pPr>
              <w:jc w:val="center"/>
            </w:pPr>
            <w:r>
              <w:rPr>
                <w:rFonts w:ascii="Arial" w:hAnsi="Arial"/>
                <w:b/>
                <w:color w:val="2B2F38"/>
                <w:sz w:val="18"/>
              </w:rPr>
              <w:t>Suitability</w:t>
            </w:r>
          </w:p>
        </w:tc>
        <w:tc>
          <w:tcPr>
            <w:tcW w:type="dxa" w:w="2401"/>
            <w:shd w:fill="E5E7EB"/>
            <w:tcMar>
              <w:top w:w="100" w:type="dxa"/>
              <w:bottom w:w="100" w:type="dxa"/>
              <w:left w:w="100" w:type="dxa"/>
              <w:right w:w="100" w:type="dxa"/>
            </w:tcMar>
          </w:tcPr>
          <w:p>
            <w:pPr>
              <w:jc w:val="center"/>
            </w:pPr>
            <w:r>
              <w:rPr>
                <w:rFonts w:ascii="Arial" w:hAnsi="Arial"/>
                <w:b/>
                <w:color w:val="2B2F38"/>
                <w:sz w:val="18"/>
              </w:rPr>
              <w:t>Apply?</w:t>
            </w:r>
          </w:p>
        </w:tc>
      </w:tr>
      <w:tr>
        <w:tc>
          <w:tcPr>
            <w:tcW w:type="dxa" w:w="2401"/>
            <w:tcMar>
              <w:top w:w="100" w:type="dxa"/>
              <w:bottom w:w="100" w:type="dxa"/>
              <w:left w:w="100" w:type="dxa"/>
              <w:right w:w="100" w:type="dxa"/>
            </w:tcMar>
          </w:tcPr>
          <w:p>
            <w:r>
              <w:rPr>
                <w:rFonts w:ascii="Arial" w:hAnsi="Arial"/>
                <w:b/>
                <w:color w:val="2B2F38"/>
                <w:sz w:val="17"/>
              </w:rPr>
              <w:t>Personal Savings / Bootstrapping</w:t>
            </w:r>
          </w:p>
        </w:tc>
        <w:tc>
          <w:tcPr>
            <w:tcW w:type="dxa" w:w="2401"/>
            <w:tcMar>
              <w:top w:w="100" w:type="dxa"/>
              <w:bottom w:w="100" w:type="dxa"/>
              <w:left w:w="100" w:type="dxa"/>
              <w:right w:w="100" w:type="dxa"/>
            </w:tcMar>
          </w:tcPr>
          <w:p>
            <w:r>
              <w:rPr>
                <w:rFonts w:ascii="Arial" w:hAnsi="Arial"/>
                <w:color w:val="6B7280"/>
                <w:sz w:val="16"/>
              </w:rPr>
              <w:t>You want full operational control, have low starting capital needs, and aim to grow organically without debt.</w:t>
            </w:r>
          </w:p>
        </w:tc>
        <w:tc>
          <w:tcPr>
            <w:tcW w:type="dxa" w:w="2401"/>
            <w:tcMar>
              <w:top w:w="100" w:type="dxa"/>
              <w:bottom w:w="100" w:type="dxa"/>
              <w:left w:w="100" w:type="dxa"/>
              <w:right w:w="100" w:type="dxa"/>
            </w:tcMar>
          </w:tcPr>
          <w:p>
            <w:pPr>
              <w:jc w:val="center"/>
            </w:pPr>
            <w:r>
              <w:rPr>
                <w:rFonts w:ascii="Arial" w:hAnsi="Arial"/>
                <w:color w:val="2B2F38"/>
                <w:sz w:val="16"/>
              </w:rPr>
              <w:t>R ______ avail.</w:t>
            </w:r>
          </w:p>
        </w:tc>
        <w:tc>
          <w:tcPr>
            <w:tcW w:type="dxa" w:w="2401"/>
            <w:tcMar>
              <w:top w:w="100" w:type="dxa"/>
              <w:bottom w:w="100" w:type="dxa"/>
              <w:left w:w="100" w:type="dxa"/>
              <w:right w:w="100" w:type="dxa"/>
            </w:tcMar>
          </w:tcPr>
          <w:p>
            <w:pPr>
              <w:jc w:val="center"/>
            </w:pPr>
            <w:r>
              <w:rPr>
                <w:rFonts w:ascii="Arial" w:hAnsi="Arial"/>
                <w:color w:val="2B2F38"/>
                <w:sz w:val="16"/>
              </w:rPr>
              <w:t>[ ] Y  [ ] N</w:t>
            </w:r>
          </w:p>
        </w:tc>
      </w:tr>
      <w:tr>
        <w:tc>
          <w:tcPr>
            <w:tcW w:type="dxa" w:w="2401"/>
            <w:tcMar>
              <w:top w:w="100" w:type="dxa"/>
              <w:bottom w:w="100" w:type="dxa"/>
              <w:left w:w="100" w:type="dxa"/>
              <w:right w:w="100" w:type="dxa"/>
            </w:tcMar>
          </w:tcPr>
          <w:p>
            <w:r>
              <w:rPr>
                <w:rFonts w:ascii="Arial" w:hAnsi="Arial"/>
                <w:b/>
                <w:color w:val="2B2F38"/>
                <w:sz w:val="17"/>
              </w:rPr>
              <w:t>Traditional Bank Loans</w:t>
            </w:r>
          </w:p>
        </w:tc>
        <w:tc>
          <w:tcPr>
            <w:tcW w:type="dxa" w:w="2401"/>
            <w:tcMar>
              <w:top w:w="100" w:type="dxa"/>
              <w:bottom w:w="100" w:type="dxa"/>
              <w:left w:w="100" w:type="dxa"/>
              <w:right w:w="100" w:type="dxa"/>
            </w:tcMar>
          </w:tcPr>
          <w:p>
            <w:r>
              <w:rPr>
                <w:rFonts w:ascii="Arial" w:hAnsi="Arial"/>
                <w:color w:val="6B7280"/>
                <w:sz w:val="16"/>
              </w:rPr>
              <w:t>You have a proven business plan, good credit history, and reliable collateral to secure fixed repayment terms.</w:t>
            </w:r>
          </w:p>
        </w:tc>
        <w:tc>
          <w:tcPr>
            <w:tcW w:type="dxa" w:w="2401"/>
            <w:tcMar>
              <w:top w:w="100" w:type="dxa"/>
              <w:bottom w:w="100" w:type="dxa"/>
              <w:left w:w="100" w:type="dxa"/>
              <w:right w:w="100" w:type="dxa"/>
            </w:tcMar>
          </w:tcPr>
          <w:p>
            <w:pPr>
              <w:jc w:val="center"/>
            </w:pPr>
            <w:r>
              <w:rPr>
                <w:rFonts w:ascii="Arial" w:hAnsi="Arial"/>
                <w:color w:val="2B2F38"/>
                <w:sz w:val="16"/>
              </w:rPr>
              <w:t>High Barrier</w:t>
            </w:r>
          </w:p>
        </w:tc>
        <w:tc>
          <w:tcPr>
            <w:tcW w:type="dxa" w:w="2401"/>
            <w:tcMar>
              <w:top w:w="100" w:type="dxa"/>
              <w:bottom w:w="100" w:type="dxa"/>
              <w:left w:w="100" w:type="dxa"/>
              <w:right w:w="100" w:type="dxa"/>
            </w:tcMar>
          </w:tcPr>
          <w:p>
            <w:pPr>
              <w:jc w:val="center"/>
            </w:pPr>
            <w:r>
              <w:rPr>
                <w:rFonts w:ascii="Arial" w:hAnsi="Arial"/>
                <w:color w:val="2B2F38"/>
                <w:sz w:val="16"/>
              </w:rPr>
              <w:t>[ ] Y  [ ] N</w:t>
            </w:r>
          </w:p>
        </w:tc>
      </w:tr>
      <w:tr>
        <w:tc>
          <w:tcPr>
            <w:tcW w:type="dxa" w:w="2401"/>
            <w:tcMar>
              <w:top w:w="100" w:type="dxa"/>
              <w:bottom w:w="100" w:type="dxa"/>
              <w:left w:w="100" w:type="dxa"/>
              <w:right w:w="100" w:type="dxa"/>
            </w:tcMar>
          </w:tcPr>
          <w:p>
            <w:r>
              <w:rPr>
                <w:rFonts w:ascii="Arial" w:hAnsi="Arial"/>
                <w:b/>
                <w:color w:val="2B2F38"/>
                <w:sz w:val="17"/>
              </w:rPr>
              <w:t>Working Capital / Bridging Finance</w:t>
            </w:r>
          </w:p>
        </w:tc>
        <w:tc>
          <w:tcPr>
            <w:tcW w:type="dxa" w:w="2401"/>
            <w:tcMar>
              <w:top w:w="100" w:type="dxa"/>
              <w:bottom w:w="100" w:type="dxa"/>
              <w:left w:w="100" w:type="dxa"/>
              <w:right w:w="100" w:type="dxa"/>
            </w:tcMar>
          </w:tcPr>
          <w:p>
            <w:r>
              <w:rPr>
                <w:rFonts w:ascii="Arial" w:hAnsi="Arial"/>
                <w:color w:val="6B7280"/>
                <w:sz w:val="16"/>
              </w:rPr>
              <w:t>You face short-term cash flow gaps (e.g. waiting for 30-90 day invoice payments or financing bulk purchase orders).</w:t>
            </w:r>
          </w:p>
        </w:tc>
        <w:tc>
          <w:tcPr>
            <w:tcW w:type="dxa" w:w="2401"/>
            <w:tcMar>
              <w:top w:w="100" w:type="dxa"/>
              <w:bottom w:w="100" w:type="dxa"/>
              <w:left w:w="100" w:type="dxa"/>
              <w:right w:w="100" w:type="dxa"/>
            </w:tcMar>
          </w:tcPr>
          <w:p>
            <w:pPr>
              <w:jc w:val="center"/>
            </w:pPr>
            <w:r>
              <w:rPr>
                <w:rFonts w:ascii="Arial" w:hAnsi="Arial"/>
                <w:color w:val="2B2F38"/>
                <w:sz w:val="16"/>
              </w:rPr>
              <w:t>Invoice Backed</w:t>
            </w:r>
          </w:p>
        </w:tc>
        <w:tc>
          <w:tcPr>
            <w:tcW w:type="dxa" w:w="2401"/>
            <w:tcMar>
              <w:top w:w="100" w:type="dxa"/>
              <w:bottom w:w="100" w:type="dxa"/>
              <w:left w:w="100" w:type="dxa"/>
              <w:right w:w="100" w:type="dxa"/>
            </w:tcMar>
          </w:tcPr>
          <w:p>
            <w:pPr>
              <w:jc w:val="center"/>
            </w:pPr>
            <w:r>
              <w:rPr>
                <w:rFonts w:ascii="Arial" w:hAnsi="Arial"/>
                <w:color w:val="2B2F38"/>
                <w:sz w:val="16"/>
              </w:rPr>
              <w:t>[ ] Y  [ ] N</w:t>
            </w:r>
          </w:p>
        </w:tc>
      </w:tr>
      <w:tr>
        <w:tc>
          <w:tcPr>
            <w:tcW w:type="dxa" w:w="2401"/>
            <w:tcMar>
              <w:top w:w="100" w:type="dxa"/>
              <w:bottom w:w="100" w:type="dxa"/>
              <w:left w:w="100" w:type="dxa"/>
              <w:right w:w="100" w:type="dxa"/>
            </w:tcMar>
          </w:tcPr>
          <w:p>
            <w:r>
              <w:rPr>
                <w:rFonts w:ascii="Arial" w:hAnsi="Arial"/>
                <w:b/>
                <w:color w:val="2B2F38"/>
                <w:sz w:val="17"/>
              </w:rPr>
              <w:t>Credit Cards / Revolving Facilities</w:t>
            </w:r>
          </w:p>
        </w:tc>
        <w:tc>
          <w:tcPr>
            <w:tcW w:type="dxa" w:w="2401"/>
            <w:tcMar>
              <w:top w:w="100" w:type="dxa"/>
              <w:bottom w:w="100" w:type="dxa"/>
              <w:left w:w="100" w:type="dxa"/>
              <w:right w:w="100" w:type="dxa"/>
            </w:tcMar>
          </w:tcPr>
          <w:p>
            <w:r>
              <w:rPr>
                <w:rFonts w:ascii="Arial" w:hAnsi="Arial"/>
                <w:color w:val="6B7280"/>
                <w:sz w:val="16"/>
              </w:rPr>
              <w:t>Immediate short-term flexibility for smaller operating expenses with a clear, fast repayment plan.</w:t>
            </w:r>
          </w:p>
        </w:tc>
        <w:tc>
          <w:tcPr>
            <w:tcW w:type="dxa" w:w="2401"/>
            <w:tcMar>
              <w:top w:w="100" w:type="dxa"/>
              <w:bottom w:w="100" w:type="dxa"/>
              <w:left w:w="100" w:type="dxa"/>
              <w:right w:w="100" w:type="dxa"/>
            </w:tcMar>
          </w:tcPr>
          <w:p>
            <w:pPr>
              <w:jc w:val="center"/>
            </w:pPr>
            <w:r>
              <w:rPr>
                <w:rFonts w:ascii="Arial" w:hAnsi="Arial"/>
                <w:color w:val="2B2F38"/>
                <w:sz w:val="16"/>
              </w:rPr>
              <w:t>High Interest</w:t>
            </w:r>
          </w:p>
        </w:tc>
        <w:tc>
          <w:tcPr>
            <w:tcW w:type="dxa" w:w="2401"/>
            <w:tcMar>
              <w:top w:w="100" w:type="dxa"/>
              <w:bottom w:w="100" w:type="dxa"/>
              <w:left w:w="100" w:type="dxa"/>
              <w:right w:w="100" w:type="dxa"/>
            </w:tcMar>
          </w:tcPr>
          <w:p>
            <w:pPr>
              <w:jc w:val="center"/>
            </w:pPr>
            <w:r>
              <w:rPr>
                <w:rFonts w:ascii="Arial" w:hAnsi="Arial"/>
                <w:color w:val="2B2F38"/>
                <w:sz w:val="16"/>
              </w:rPr>
              <w:t>[ ] Y  [ ] N</w:t>
            </w:r>
          </w:p>
        </w:tc>
      </w:tr>
      <w:tr>
        <w:tc>
          <w:tcPr>
            <w:tcW w:type="dxa" w:w="2401"/>
            <w:tcMar>
              <w:top w:w="100" w:type="dxa"/>
              <w:bottom w:w="100" w:type="dxa"/>
              <w:left w:w="100" w:type="dxa"/>
              <w:right w:w="100" w:type="dxa"/>
            </w:tcMar>
          </w:tcPr>
          <w:p>
            <w:r>
              <w:rPr>
                <w:rFonts w:ascii="Arial" w:hAnsi="Arial"/>
                <w:b/>
                <w:color w:val="2B2F38"/>
                <w:sz w:val="17"/>
              </w:rPr>
              <w:t>Asset &amp; Equipment Finance</w:t>
            </w:r>
          </w:p>
        </w:tc>
        <w:tc>
          <w:tcPr>
            <w:tcW w:type="dxa" w:w="2401"/>
            <w:tcMar>
              <w:top w:w="100" w:type="dxa"/>
              <w:bottom w:w="100" w:type="dxa"/>
              <w:left w:w="100" w:type="dxa"/>
              <w:right w:w="100" w:type="dxa"/>
            </w:tcMar>
          </w:tcPr>
          <w:p>
            <w:r>
              <w:rPr>
                <w:rFonts w:ascii="Arial" w:hAnsi="Arial"/>
                <w:color w:val="6B7280"/>
                <w:sz w:val="16"/>
              </w:rPr>
              <w:t>You need physical machinery, commercial vehicles, or heavy hardware where the asset itself serves as loan collateral.</w:t>
            </w:r>
          </w:p>
        </w:tc>
        <w:tc>
          <w:tcPr>
            <w:tcW w:type="dxa" w:w="2401"/>
            <w:tcMar>
              <w:top w:w="100" w:type="dxa"/>
              <w:bottom w:w="100" w:type="dxa"/>
              <w:left w:w="100" w:type="dxa"/>
              <w:right w:w="100" w:type="dxa"/>
            </w:tcMar>
          </w:tcPr>
          <w:p>
            <w:pPr>
              <w:jc w:val="center"/>
            </w:pPr>
            <w:r>
              <w:rPr>
                <w:rFonts w:ascii="Arial" w:hAnsi="Arial"/>
                <w:color w:val="2B2F38"/>
                <w:sz w:val="16"/>
              </w:rPr>
              <w:t>Asset Secured</w:t>
            </w:r>
          </w:p>
        </w:tc>
        <w:tc>
          <w:tcPr>
            <w:tcW w:type="dxa" w:w="2401"/>
            <w:tcMar>
              <w:top w:w="100" w:type="dxa"/>
              <w:bottom w:w="100" w:type="dxa"/>
              <w:left w:w="100" w:type="dxa"/>
              <w:right w:w="100" w:type="dxa"/>
            </w:tcMar>
          </w:tcPr>
          <w:p>
            <w:pPr>
              <w:jc w:val="center"/>
            </w:pPr>
            <w:r>
              <w:rPr>
                <w:rFonts w:ascii="Arial" w:hAnsi="Arial"/>
                <w:color w:val="2B2F38"/>
                <w:sz w:val="16"/>
              </w:rPr>
              <w:t>[ ] Y  [ ] N</w:t>
            </w:r>
          </w:p>
        </w:tc>
      </w:tr>
      <w:tr>
        <w:tc>
          <w:tcPr>
            <w:tcW w:type="dxa" w:w="2401"/>
            <w:tcMar>
              <w:top w:w="100" w:type="dxa"/>
              <w:bottom w:w="100" w:type="dxa"/>
              <w:left w:w="100" w:type="dxa"/>
              <w:right w:w="100" w:type="dxa"/>
            </w:tcMar>
          </w:tcPr>
          <w:p>
            <w:r>
              <w:rPr>
                <w:rFonts w:ascii="Arial" w:hAnsi="Arial"/>
                <w:b/>
                <w:color w:val="2B2F38"/>
                <w:sz w:val="17"/>
              </w:rPr>
              <w:t>Crowdfunding</w:t>
            </w:r>
          </w:p>
        </w:tc>
        <w:tc>
          <w:tcPr>
            <w:tcW w:type="dxa" w:w="2401"/>
            <w:tcMar>
              <w:top w:w="100" w:type="dxa"/>
              <w:bottom w:w="100" w:type="dxa"/>
              <w:left w:w="100" w:type="dxa"/>
              <w:right w:w="100" w:type="dxa"/>
            </w:tcMar>
          </w:tcPr>
          <w:p>
            <w:r>
              <w:rPr>
                <w:rFonts w:ascii="Arial" w:hAnsi="Arial"/>
                <w:color w:val="6B7280"/>
                <w:sz w:val="16"/>
              </w:rPr>
              <w:t>Your product/service has consumer appeal, viral market potential, or community backing via pre-orders or reward tiers.</w:t>
            </w:r>
          </w:p>
        </w:tc>
        <w:tc>
          <w:tcPr>
            <w:tcW w:type="dxa" w:w="2401"/>
            <w:tcMar>
              <w:top w:w="100" w:type="dxa"/>
              <w:bottom w:w="100" w:type="dxa"/>
              <w:left w:w="100" w:type="dxa"/>
              <w:right w:w="100" w:type="dxa"/>
            </w:tcMar>
          </w:tcPr>
          <w:p>
            <w:pPr>
              <w:jc w:val="center"/>
            </w:pPr>
            <w:r>
              <w:rPr>
                <w:rFonts w:ascii="Arial" w:hAnsi="Arial"/>
                <w:color w:val="2B2F38"/>
                <w:sz w:val="16"/>
              </w:rPr>
              <w:t>Public Proof</w:t>
            </w:r>
          </w:p>
        </w:tc>
        <w:tc>
          <w:tcPr>
            <w:tcW w:type="dxa" w:w="2401"/>
            <w:tcMar>
              <w:top w:w="100" w:type="dxa"/>
              <w:bottom w:w="100" w:type="dxa"/>
              <w:left w:w="100" w:type="dxa"/>
              <w:right w:w="100" w:type="dxa"/>
            </w:tcMar>
          </w:tcPr>
          <w:p>
            <w:pPr>
              <w:jc w:val="center"/>
            </w:pPr>
            <w:r>
              <w:rPr>
                <w:rFonts w:ascii="Arial" w:hAnsi="Arial"/>
                <w:color w:val="2B2F38"/>
                <w:sz w:val="16"/>
              </w:rPr>
              <w:t>[ ] Y  [ ] N</w:t>
            </w:r>
          </w:p>
        </w:tc>
      </w:tr>
      <w:tr>
        <w:tc>
          <w:tcPr>
            <w:tcW w:type="dxa" w:w="2401"/>
            <w:tcMar>
              <w:top w:w="100" w:type="dxa"/>
              <w:bottom w:w="100" w:type="dxa"/>
              <w:left w:w="100" w:type="dxa"/>
              <w:right w:w="100" w:type="dxa"/>
            </w:tcMar>
          </w:tcPr>
          <w:p>
            <w:r>
              <w:rPr>
                <w:rFonts w:ascii="Arial" w:hAnsi="Arial"/>
                <w:b/>
                <w:color w:val="2B2F38"/>
                <w:sz w:val="17"/>
              </w:rPr>
              <w:t>Angel Investors</w:t>
            </w:r>
          </w:p>
        </w:tc>
        <w:tc>
          <w:tcPr>
            <w:tcW w:type="dxa" w:w="2401"/>
            <w:tcMar>
              <w:top w:w="100" w:type="dxa"/>
              <w:bottom w:w="100" w:type="dxa"/>
              <w:left w:w="100" w:type="dxa"/>
              <w:right w:w="100" w:type="dxa"/>
            </w:tcMar>
          </w:tcPr>
          <w:p>
            <w:r>
              <w:rPr>
                <w:rFonts w:ascii="Arial" w:hAnsi="Arial"/>
                <w:color w:val="6B7280"/>
                <w:sz w:val="16"/>
              </w:rPr>
              <w:t>You need early-stage capital + strategic mentorship and are comfortable giving up 10%–25% equity.</w:t>
            </w:r>
          </w:p>
        </w:tc>
        <w:tc>
          <w:tcPr>
            <w:tcW w:type="dxa" w:w="2401"/>
            <w:tcMar>
              <w:top w:w="100" w:type="dxa"/>
              <w:bottom w:w="100" w:type="dxa"/>
              <w:left w:w="100" w:type="dxa"/>
              <w:right w:w="100" w:type="dxa"/>
            </w:tcMar>
          </w:tcPr>
          <w:p>
            <w:pPr>
              <w:jc w:val="center"/>
            </w:pPr>
            <w:r>
              <w:rPr>
                <w:rFonts w:ascii="Arial" w:hAnsi="Arial"/>
                <w:color w:val="2B2F38"/>
                <w:sz w:val="16"/>
              </w:rPr>
              <w:t>Equity Based</w:t>
            </w:r>
          </w:p>
        </w:tc>
        <w:tc>
          <w:tcPr>
            <w:tcW w:type="dxa" w:w="2401"/>
            <w:tcMar>
              <w:top w:w="100" w:type="dxa"/>
              <w:bottom w:w="100" w:type="dxa"/>
              <w:left w:w="100" w:type="dxa"/>
              <w:right w:w="100" w:type="dxa"/>
            </w:tcMar>
          </w:tcPr>
          <w:p>
            <w:pPr>
              <w:jc w:val="center"/>
            </w:pPr>
            <w:r>
              <w:rPr>
                <w:rFonts w:ascii="Arial" w:hAnsi="Arial"/>
                <w:color w:val="2B2F38"/>
                <w:sz w:val="16"/>
              </w:rPr>
              <w:t>[ ] Y  [ ] N</w:t>
            </w:r>
          </w:p>
        </w:tc>
      </w:tr>
      <w:tr>
        <w:tc>
          <w:tcPr>
            <w:tcW w:type="dxa" w:w="2401"/>
            <w:tcMar>
              <w:top w:w="100" w:type="dxa"/>
              <w:bottom w:w="100" w:type="dxa"/>
              <w:left w:w="100" w:type="dxa"/>
              <w:right w:w="100" w:type="dxa"/>
            </w:tcMar>
          </w:tcPr>
          <w:p>
            <w:r>
              <w:rPr>
                <w:rFonts w:ascii="Arial" w:hAnsi="Arial"/>
                <w:b/>
                <w:color w:val="2B2F38"/>
                <w:sz w:val="17"/>
              </w:rPr>
              <w:t>Venture Capital (VC)</w:t>
            </w:r>
          </w:p>
        </w:tc>
        <w:tc>
          <w:tcPr>
            <w:tcW w:type="dxa" w:w="2401"/>
            <w:tcMar>
              <w:top w:w="100" w:type="dxa"/>
              <w:bottom w:w="100" w:type="dxa"/>
              <w:left w:w="100" w:type="dxa"/>
              <w:right w:w="100" w:type="dxa"/>
            </w:tcMar>
          </w:tcPr>
          <w:p>
            <w:r>
              <w:rPr>
                <w:rFonts w:ascii="Arial" w:hAnsi="Arial"/>
                <w:color w:val="6B7280"/>
                <w:sz w:val="16"/>
              </w:rPr>
              <w:t>High-growth tech or scalable business with an aggressive expansion model and an eventual exit/acquisition strategy.</w:t>
            </w:r>
          </w:p>
        </w:tc>
        <w:tc>
          <w:tcPr>
            <w:tcW w:type="dxa" w:w="2401"/>
            <w:tcMar>
              <w:top w:w="100" w:type="dxa"/>
              <w:bottom w:w="100" w:type="dxa"/>
              <w:left w:w="100" w:type="dxa"/>
              <w:right w:w="100" w:type="dxa"/>
            </w:tcMar>
          </w:tcPr>
          <w:p>
            <w:pPr>
              <w:jc w:val="center"/>
            </w:pPr>
            <w:r>
              <w:rPr>
                <w:rFonts w:ascii="Arial" w:hAnsi="Arial"/>
                <w:color w:val="2B2F38"/>
                <w:sz w:val="16"/>
              </w:rPr>
              <w:t>High Dilution</w:t>
            </w:r>
          </w:p>
        </w:tc>
        <w:tc>
          <w:tcPr>
            <w:tcW w:type="dxa" w:w="2401"/>
            <w:tcMar>
              <w:top w:w="100" w:type="dxa"/>
              <w:bottom w:w="100" w:type="dxa"/>
              <w:left w:w="100" w:type="dxa"/>
              <w:right w:w="100" w:type="dxa"/>
            </w:tcMar>
          </w:tcPr>
          <w:p>
            <w:pPr>
              <w:jc w:val="center"/>
            </w:pPr>
            <w:r>
              <w:rPr>
                <w:rFonts w:ascii="Arial" w:hAnsi="Arial"/>
                <w:color w:val="2B2F38"/>
                <w:sz w:val="16"/>
              </w:rPr>
              <w:t>[ ] Y  [ ] N</w:t>
            </w:r>
          </w:p>
        </w:tc>
      </w:tr>
    </w:tbl>
    <w:p>
      <w:pPr>
        <w:spacing w:before="80" w:after="40"/>
      </w:pPr>
    </w:p>
    <w:p>
      <w:pPr>
        <w:keepNext/>
        <w:spacing w:before="280" w:after="80"/>
      </w:pPr>
      <w:r>
        <w:rPr>
          <w:rFonts w:ascii="Arial" w:hAnsi="Arial"/>
          <w:b/>
          <w:color w:val="2B2F38"/>
          <w:sz w:val="23"/>
        </w:rPr>
        <w:t>3. South African Specific Funding &amp; Development Agencies</w:t>
      </w:r>
    </w:p>
    <w:tbl>
      <w:tblPr>
        <w:tblW w:type="auto" w:w="0"/>
        <w:jc w:val="center"/>
        <w:tblLayout w:type="fixed"/>
        <w:tblLook w:firstColumn="1" w:firstRow="1" w:lastColumn="0" w:lastRow="0" w:noHBand="0" w:noVBand="1" w:val="04A0"/>
        <w:tblBorders>
          <w:top w:val="none"/>
          <w:bottom w:val="none"/>
          <w:left w:val="single" w:sz="24" w:space="0" w:color="D4A243"/>
          <w:right w:val="none"/>
          <w:insideH w:val="none"/>
          <w:insideV w:val="none"/>
        </w:tblBorders>
      </w:tblPr>
      <w:tblGrid>
        <w:gridCol w:w="9605"/>
      </w:tblGrid>
      <w:tr>
        <w:tc>
          <w:tcPr>
            <w:tcW w:type="dxa" w:w="9605"/>
            <w:shd w:fill="F4F5F7"/>
            <w:tcMar>
              <w:top w:w="80" w:type="dxa"/>
              <w:bottom w:w="80" w:type="dxa"/>
              <w:left w:w="120" w:type="dxa"/>
              <w:right w:w="120" w:type="dxa"/>
            </w:tcMar>
          </w:tcPr>
          <w:p>
            <w:pPr>
              <w:spacing w:before="0" w:after="0"/>
            </w:pPr>
            <w:r>
              <w:rPr>
                <w:rFonts w:ascii="Arial" w:hAnsi="Arial"/>
                <w:b/>
                <w:color w:val="D4A243"/>
                <w:sz w:val="18"/>
              </w:rPr>
              <w:t xml:space="preserve">PROMPT: </w:t>
            </w:r>
            <w:r>
              <w:rPr>
                <w:rFonts w:ascii="Arial" w:hAnsi="Arial"/>
                <w:i/>
                <w:color w:val="2B2F38"/>
                <w:sz w:val="18"/>
              </w:rPr>
              <w:t>South Africa has dedicated statutory bodies, enterprise funds, and sectoral incentives. Check where your business profile aligns.</w:t>
            </w:r>
          </w:p>
        </w:tc>
      </w:tr>
    </w:tbl>
    <w:p>
      <w:pPr>
        <w:spacing w:before="0" w:after="80"/>
      </w:pPr>
    </w:p>
    <w:tbl>
      <w:tblPr>
        <w:tblW w:type="auto" w:w="0"/>
        <w:jc w:val="center"/>
        <w:tblLayout w:type="fixed"/>
        <w:tblLook w:firstColumn="1" w:firstRow="1" w:lastColumn="0" w:lastRow="0" w:noHBand="0" w:noVBand="1" w:val="04A0"/>
        <w:tblBorders>
          <w:top w:val="single" w:sz="4" w:space="0" w:color="D1D5DB"/>
          <w:bottom w:val="single" w:sz="4" w:space="0" w:color="D1D5DB"/>
          <w:left w:val="none"/>
          <w:right w:val="none"/>
          <w:insideH w:val="single" w:sz="4" w:space="0" w:color="D1D5DB"/>
          <w:insideV w:val="none"/>
        </w:tblBorders>
      </w:tblPr>
      <w:tblGrid>
        <w:gridCol w:w="2592"/>
        <w:gridCol w:w="3888"/>
        <w:gridCol w:w="1829"/>
        <w:gridCol w:w="1296"/>
      </w:tblGrid>
      <w:tr>
        <w:tc>
          <w:tcPr>
            <w:tcW w:type="dxa" w:w="2401"/>
            <w:shd w:fill="E5E7EB"/>
            <w:tcMar>
              <w:top w:w="100" w:type="dxa"/>
              <w:bottom w:w="100" w:type="dxa"/>
              <w:left w:w="100" w:type="dxa"/>
              <w:right w:w="100" w:type="dxa"/>
            </w:tcMar>
          </w:tcPr>
          <w:p>
            <w:pPr>
              <w:jc w:val="left"/>
            </w:pPr>
            <w:r>
              <w:rPr>
                <w:rFonts w:ascii="Arial" w:hAnsi="Arial"/>
                <w:b/>
                <w:color w:val="2B2F38"/>
                <w:sz w:val="18"/>
              </w:rPr>
              <w:t>Agency / Program</w:t>
            </w:r>
          </w:p>
        </w:tc>
        <w:tc>
          <w:tcPr>
            <w:tcW w:type="dxa" w:w="2401"/>
            <w:shd w:fill="E5E7EB"/>
            <w:tcMar>
              <w:top w:w="100" w:type="dxa"/>
              <w:bottom w:w="100" w:type="dxa"/>
              <w:left w:w="100" w:type="dxa"/>
              <w:right w:w="100" w:type="dxa"/>
            </w:tcMar>
          </w:tcPr>
          <w:p>
            <w:pPr>
              <w:jc w:val="left"/>
            </w:pPr>
            <w:r>
              <w:rPr>
                <w:rFonts w:ascii="Arial" w:hAnsi="Arial"/>
                <w:b/>
                <w:color w:val="2B2F38"/>
                <w:sz w:val="18"/>
              </w:rPr>
              <w:t>Core Mandate &amp; Focus Area</w:t>
            </w:r>
          </w:p>
        </w:tc>
        <w:tc>
          <w:tcPr>
            <w:tcW w:type="dxa" w:w="2401"/>
            <w:shd w:fill="E5E7EB"/>
            <w:tcMar>
              <w:top w:w="100" w:type="dxa"/>
              <w:bottom w:w="100" w:type="dxa"/>
              <w:left w:w="100" w:type="dxa"/>
              <w:right w:w="100" w:type="dxa"/>
            </w:tcMar>
          </w:tcPr>
          <w:p>
            <w:pPr>
              <w:jc w:val="center"/>
            </w:pPr>
            <w:r>
              <w:rPr>
                <w:rFonts w:ascii="Arial" w:hAnsi="Arial"/>
                <w:b/>
                <w:color w:val="2B2F38"/>
                <w:sz w:val="18"/>
              </w:rPr>
              <w:t>Key Requirement</w:t>
            </w:r>
          </w:p>
        </w:tc>
        <w:tc>
          <w:tcPr>
            <w:tcW w:type="dxa" w:w="2401"/>
            <w:shd w:fill="E5E7EB"/>
            <w:tcMar>
              <w:top w:w="100" w:type="dxa"/>
              <w:bottom w:w="100" w:type="dxa"/>
              <w:left w:w="100" w:type="dxa"/>
              <w:right w:w="100" w:type="dxa"/>
            </w:tcMar>
          </w:tcPr>
          <w:p>
            <w:pPr>
              <w:jc w:val="center"/>
            </w:pPr>
            <w:r>
              <w:rPr>
                <w:rFonts w:ascii="Arial" w:hAnsi="Arial"/>
                <w:b/>
                <w:color w:val="2B2F38"/>
                <w:sz w:val="18"/>
              </w:rPr>
              <w:t>Qualify?</w:t>
            </w:r>
          </w:p>
        </w:tc>
      </w:tr>
      <w:tr>
        <w:tc>
          <w:tcPr>
            <w:tcW w:type="dxa" w:w="2401"/>
            <w:tcMar>
              <w:top w:w="100" w:type="dxa"/>
              <w:bottom w:w="100" w:type="dxa"/>
              <w:left w:w="100" w:type="dxa"/>
              <w:right w:w="100" w:type="dxa"/>
            </w:tcMar>
          </w:tcPr>
          <w:p>
            <w:r>
              <w:rPr>
                <w:rFonts w:ascii="Arial" w:hAnsi="Arial"/>
                <w:b/>
                <w:color w:val="2B2F38"/>
                <w:sz w:val="17"/>
              </w:rPr>
              <w:t>Government Grants</w:t>
              <w:br/>
            </w:r>
            <w:r>
              <w:rPr>
                <w:rFonts w:ascii="Arial" w:hAnsi="Arial"/>
                <w:color w:val="D4A243"/>
                <w:sz w:val="15"/>
              </w:rPr>
              <w:t>(NYDA, DTIC, BIS, CIS)</w:t>
            </w:r>
          </w:p>
        </w:tc>
        <w:tc>
          <w:tcPr>
            <w:tcW w:type="dxa" w:w="2401"/>
            <w:tcMar>
              <w:top w:w="100" w:type="dxa"/>
              <w:bottom w:w="100" w:type="dxa"/>
              <w:left w:w="100" w:type="dxa"/>
              <w:right w:w="100" w:type="dxa"/>
            </w:tcMar>
          </w:tcPr>
          <w:p>
            <w:r>
              <w:rPr>
                <w:rFonts w:ascii="Arial" w:hAnsi="Arial"/>
                <w:color w:val="6B7280"/>
                <w:sz w:val="16"/>
              </w:rPr>
              <w:t>Non-repayable or cost-sharing grants targeting youth entrepreneurs (18-35), agro-processing, cooperatives, and black industrialists.</w:t>
            </w:r>
          </w:p>
        </w:tc>
        <w:tc>
          <w:tcPr>
            <w:tcW w:type="dxa" w:w="2401"/>
            <w:tcMar>
              <w:top w:w="100" w:type="dxa"/>
              <w:bottom w:w="100" w:type="dxa"/>
              <w:left w:w="100" w:type="dxa"/>
              <w:right w:w="100" w:type="dxa"/>
            </w:tcMar>
          </w:tcPr>
          <w:p>
            <w:pPr>
              <w:jc w:val="center"/>
            </w:pPr>
            <w:r>
              <w:rPr>
                <w:rFonts w:ascii="Arial" w:hAnsi="Arial"/>
                <w:color w:val="2B2F38"/>
                <w:sz w:val="16"/>
              </w:rPr>
              <w:t>Compliance &amp; B-BBEE</w:t>
            </w:r>
          </w:p>
        </w:tc>
        <w:tc>
          <w:tcPr>
            <w:tcW w:type="dxa" w:w="2401"/>
            <w:tcMar>
              <w:top w:w="100" w:type="dxa"/>
              <w:bottom w:w="100" w:type="dxa"/>
              <w:left w:w="100" w:type="dxa"/>
              <w:right w:w="100" w:type="dxa"/>
            </w:tcMar>
          </w:tcPr>
          <w:p>
            <w:pPr>
              <w:jc w:val="center"/>
            </w:pPr>
            <w:r>
              <w:rPr>
                <w:rFonts w:ascii="Arial" w:hAnsi="Arial"/>
                <w:color w:val="2B2F38"/>
                <w:sz w:val="16"/>
              </w:rPr>
              <w:t>[ ] Y  [ ] N</w:t>
            </w:r>
          </w:p>
        </w:tc>
      </w:tr>
      <w:tr>
        <w:tc>
          <w:tcPr>
            <w:tcW w:type="dxa" w:w="2401"/>
            <w:tcMar>
              <w:top w:w="100" w:type="dxa"/>
              <w:bottom w:w="100" w:type="dxa"/>
              <w:left w:w="100" w:type="dxa"/>
              <w:right w:w="100" w:type="dxa"/>
            </w:tcMar>
          </w:tcPr>
          <w:p>
            <w:r>
              <w:rPr>
                <w:rFonts w:ascii="Arial" w:hAnsi="Arial"/>
                <w:b/>
                <w:color w:val="2B2F38"/>
                <w:sz w:val="17"/>
              </w:rPr>
              <w:t>SEFA</w:t>
              <w:br/>
            </w:r>
            <w:r>
              <w:rPr>
                <w:rFonts w:ascii="Arial" w:hAnsi="Arial"/>
                <w:color w:val="D4A243"/>
                <w:sz w:val="15"/>
              </w:rPr>
              <w:t>(Small Enterprise Finance Agency)</w:t>
            </w:r>
          </w:p>
        </w:tc>
        <w:tc>
          <w:tcPr>
            <w:tcW w:type="dxa" w:w="2401"/>
            <w:tcMar>
              <w:top w:w="100" w:type="dxa"/>
              <w:bottom w:w="100" w:type="dxa"/>
              <w:left w:w="100" w:type="dxa"/>
              <w:right w:w="100" w:type="dxa"/>
            </w:tcMar>
          </w:tcPr>
          <w:p>
            <w:r>
              <w:rPr>
                <w:rFonts w:ascii="Arial" w:hAnsi="Arial"/>
                <w:color w:val="6B7280"/>
                <w:sz w:val="16"/>
              </w:rPr>
              <w:t>Micro-loans, direct lending, and credit guarantees up to R5M for survivalist, micro, and small enterprises.</w:t>
            </w:r>
          </w:p>
        </w:tc>
        <w:tc>
          <w:tcPr>
            <w:tcW w:type="dxa" w:w="2401"/>
            <w:tcMar>
              <w:top w:w="100" w:type="dxa"/>
              <w:bottom w:w="100" w:type="dxa"/>
              <w:left w:w="100" w:type="dxa"/>
              <w:right w:w="100" w:type="dxa"/>
            </w:tcMar>
          </w:tcPr>
          <w:p>
            <w:pPr>
              <w:jc w:val="center"/>
            </w:pPr>
            <w:r>
              <w:rPr>
                <w:rFonts w:ascii="Arial" w:hAnsi="Arial"/>
                <w:color w:val="2B2F38"/>
                <w:sz w:val="16"/>
              </w:rPr>
              <w:t>SME Track Record</w:t>
            </w:r>
          </w:p>
        </w:tc>
        <w:tc>
          <w:tcPr>
            <w:tcW w:type="dxa" w:w="2401"/>
            <w:tcMar>
              <w:top w:w="100" w:type="dxa"/>
              <w:bottom w:w="100" w:type="dxa"/>
              <w:left w:w="100" w:type="dxa"/>
              <w:right w:w="100" w:type="dxa"/>
            </w:tcMar>
          </w:tcPr>
          <w:p>
            <w:pPr>
              <w:jc w:val="center"/>
            </w:pPr>
            <w:r>
              <w:rPr>
                <w:rFonts w:ascii="Arial" w:hAnsi="Arial"/>
                <w:color w:val="2B2F38"/>
                <w:sz w:val="16"/>
              </w:rPr>
              <w:t>[ ] Y  [ ] N</w:t>
            </w:r>
          </w:p>
        </w:tc>
      </w:tr>
      <w:tr>
        <w:tc>
          <w:tcPr>
            <w:tcW w:type="dxa" w:w="2401"/>
            <w:tcMar>
              <w:top w:w="100" w:type="dxa"/>
              <w:bottom w:w="100" w:type="dxa"/>
              <w:left w:w="100" w:type="dxa"/>
              <w:right w:w="100" w:type="dxa"/>
            </w:tcMar>
          </w:tcPr>
          <w:p>
            <w:r>
              <w:rPr>
                <w:rFonts w:ascii="Arial" w:hAnsi="Arial"/>
                <w:b/>
                <w:color w:val="2B2F38"/>
                <w:sz w:val="17"/>
              </w:rPr>
              <w:t>IDC</w:t>
              <w:br/>
            </w:r>
            <w:r>
              <w:rPr>
                <w:rFonts w:ascii="Arial" w:hAnsi="Arial"/>
                <w:color w:val="D4A243"/>
                <w:sz w:val="15"/>
              </w:rPr>
              <w:t>(Industrial Development Corp)</w:t>
            </w:r>
          </w:p>
        </w:tc>
        <w:tc>
          <w:tcPr>
            <w:tcW w:type="dxa" w:w="2401"/>
            <w:tcMar>
              <w:top w:w="100" w:type="dxa"/>
              <w:bottom w:w="100" w:type="dxa"/>
              <w:left w:w="100" w:type="dxa"/>
              <w:right w:w="100" w:type="dxa"/>
            </w:tcMar>
          </w:tcPr>
          <w:p>
            <w:r>
              <w:rPr>
                <w:rFonts w:ascii="Arial" w:hAnsi="Arial"/>
                <w:color w:val="6B7280"/>
                <w:sz w:val="16"/>
              </w:rPr>
              <w:t>Large-scale industrial development finance for manufacturing, agro-processing, green economy, tourism, and mining.</w:t>
            </w:r>
          </w:p>
        </w:tc>
        <w:tc>
          <w:tcPr>
            <w:tcW w:type="dxa" w:w="2401"/>
            <w:tcMar>
              <w:top w:w="100" w:type="dxa"/>
              <w:bottom w:w="100" w:type="dxa"/>
              <w:left w:w="100" w:type="dxa"/>
              <w:right w:w="100" w:type="dxa"/>
            </w:tcMar>
          </w:tcPr>
          <w:p>
            <w:pPr>
              <w:jc w:val="center"/>
            </w:pPr>
            <w:r>
              <w:rPr>
                <w:rFonts w:ascii="Arial" w:hAnsi="Arial"/>
                <w:color w:val="2B2F38"/>
                <w:sz w:val="16"/>
              </w:rPr>
              <w:t>High Job Creation</w:t>
            </w:r>
          </w:p>
        </w:tc>
        <w:tc>
          <w:tcPr>
            <w:tcW w:type="dxa" w:w="2401"/>
            <w:tcMar>
              <w:top w:w="100" w:type="dxa"/>
              <w:bottom w:w="100" w:type="dxa"/>
              <w:left w:w="100" w:type="dxa"/>
              <w:right w:w="100" w:type="dxa"/>
            </w:tcMar>
          </w:tcPr>
          <w:p>
            <w:pPr>
              <w:jc w:val="center"/>
            </w:pPr>
            <w:r>
              <w:rPr>
                <w:rFonts w:ascii="Arial" w:hAnsi="Arial"/>
                <w:color w:val="2B2F38"/>
                <w:sz w:val="16"/>
              </w:rPr>
              <w:t>[ ] Y  [ ] N</w:t>
            </w:r>
          </w:p>
        </w:tc>
      </w:tr>
      <w:tr>
        <w:tc>
          <w:tcPr>
            <w:tcW w:type="dxa" w:w="2401"/>
            <w:tcMar>
              <w:top w:w="100" w:type="dxa"/>
              <w:bottom w:w="100" w:type="dxa"/>
              <w:left w:w="100" w:type="dxa"/>
              <w:right w:w="100" w:type="dxa"/>
            </w:tcMar>
          </w:tcPr>
          <w:p>
            <w:r>
              <w:rPr>
                <w:rFonts w:ascii="Arial" w:hAnsi="Arial"/>
                <w:b/>
                <w:color w:val="2B2F38"/>
                <w:sz w:val="17"/>
              </w:rPr>
              <w:t>NEF</w:t>
              <w:br/>
            </w:r>
            <w:r>
              <w:rPr>
                <w:rFonts w:ascii="Arial" w:hAnsi="Arial"/>
                <w:color w:val="D4A243"/>
                <w:sz w:val="15"/>
              </w:rPr>
              <w:t>(National Empowerment Fund)</w:t>
            </w:r>
          </w:p>
        </w:tc>
        <w:tc>
          <w:tcPr>
            <w:tcW w:type="dxa" w:w="2401"/>
            <w:tcMar>
              <w:top w:w="100" w:type="dxa"/>
              <w:bottom w:w="100" w:type="dxa"/>
              <w:left w:w="100" w:type="dxa"/>
              <w:right w:w="100" w:type="dxa"/>
            </w:tcMar>
          </w:tcPr>
          <w:p>
            <w:r>
              <w:rPr>
                <w:rFonts w:ascii="Arial" w:hAnsi="Arial"/>
                <w:color w:val="6B7280"/>
                <w:sz w:val="16"/>
              </w:rPr>
              <w:t>Financial and non-financial support for black-empowered businesses across franchising, procurement, and enterprise growth.</w:t>
            </w:r>
          </w:p>
        </w:tc>
        <w:tc>
          <w:tcPr>
            <w:tcW w:type="dxa" w:w="2401"/>
            <w:tcMar>
              <w:top w:w="100" w:type="dxa"/>
              <w:bottom w:w="100" w:type="dxa"/>
              <w:left w:w="100" w:type="dxa"/>
              <w:right w:w="100" w:type="dxa"/>
            </w:tcMar>
          </w:tcPr>
          <w:p>
            <w:pPr>
              <w:jc w:val="center"/>
            </w:pPr>
            <w:r>
              <w:rPr>
                <w:rFonts w:ascii="Arial" w:hAnsi="Arial"/>
                <w:color w:val="2B2F38"/>
                <w:sz w:val="16"/>
              </w:rPr>
              <w:t>50.1%+ Black Owned</w:t>
            </w:r>
          </w:p>
        </w:tc>
        <w:tc>
          <w:tcPr>
            <w:tcW w:type="dxa" w:w="2401"/>
            <w:tcMar>
              <w:top w:w="100" w:type="dxa"/>
              <w:bottom w:w="100" w:type="dxa"/>
              <w:left w:w="100" w:type="dxa"/>
              <w:right w:w="100" w:type="dxa"/>
            </w:tcMar>
          </w:tcPr>
          <w:p>
            <w:pPr>
              <w:jc w:val="center"/>
            </w:pPr>
            <w:r>
              <w:rPr>
                <w:rFonts w:ascii="Arial" w:hAnsi="Arial"/>
                <w:color w:val="2B2F38"/>
                <w:sz w:val="16"/>
              </w:rPr>
              <w:t>[ ] Y  [ ] N</w:t>
            </w:r>
          </w:p>
        </w:tc>
      </w:tr>
      <w:tr>
        <w:tc>
          <w:tcPr>
            <w:tcW w:type="dxa" w:w="2401"/>
            <w:tcMar>
              <w:top w:w="100" w:type="dxa"/>
              <w:bottom w:w="100" w:type="dxa"/>
              <w:left w:w="100" w:type="dxa"/>
              <w:right w:w="100" w:type="dxa"/>
            </w:tcMar>
          </w:tcPr>
          <w:p>
            <w:r>
              <w:rPr>
                <w:rFonts w:ascii="Arial" w:hAnsi="Arial"/>
                <w:b/>
                <w:color w:val="2B2F38"/>
                <w:sz w:val="17"/>
              </w:rPr>
              <w:t>Business Incubators</w:t>
              <w:br/>
            </w:r>
            <w:r>
              <w:rPr>
                <w:rFonts w:ascii="Arial" w:hAnsi="Arial"/>
                <w:color w:val="D4A243"/>
                <w:sz w:val="15"/>
              </w:rPr>
              <w:t>(Raizcorp, SeedEngine, Awethu)</w:t>
            </w:r>
          </w:p>
        </w:tc>
        <w:tc>
          <w:tcPr>
            <w:tcW w:type="dxa" w:w="2401"/>
            <w:tcMar>
              <w:top w:w="100" w:type="dxa"/>
              <w:bottom w:w="100" w:type="dxa"/>
              <w:left w:w="100" w:type="dxa"/>
              <w:right w:w="100" w:type="dxa"/>
            </w:tcMar>
          </w:tcPr>
          <w:p>
            <w:r>
              <w:rPr>
                <w:rFonts w:ascii="Arial" w:hAnsi="Arial"/>
                <w:color w:val="6B7280"/>
                <w:sz w:val="16"/>
              </w:rPr>
              <w:t>Structured cohort programs offering seed capital, board mentorship, office space, accounting infrastructure, and market access.</w:t>
            </w:r>
          </w:p>
        </w:tc>
        <w:tc>
          <w:tcPr>
            <w:tcW w:type="dxa" w:w="2401"/>
            <w:tcMar>
              <w:top w:w="100" w:type="dxa"/>
              <w:bottom w:w="100" w:type="dxa"/>
              <w:left w:w="100" w:type="dxa"/>
              <w:right w:w="100" w:type="dxa"/>
            </w:tcMar>
          </w:tcPr>
          <w:p>
            <w:pPr>
              <w:jc w:val="center"/>
            </w:pPr>
            <w:r>
              <w:rPr>
                <w:rFonts w:ascii="Arial" w:hAnsi="Arial"/>
                <w:color w:val="2B2F38"/>
                <w:sz w:val="16"/>
              </w:rPr>
              <w:t>Cohort Selection</w:t>
            </w:r>
          </w:p>
        </w:tc>
        <w:tc>
          <w:tcPr>
            <w:tcW w:type="dxa" w:w="2401"/>
            <w:tcMar>
              <w:top w:w="100" w:type="dxa"/>
              <w:bottom w:w="100" w:type="dxa"/>
              <w:left w:w="100" w:type="dxa"/>
              <w:right w:w="100" w:type="dxa"/>
            </w:tcMar>
          </w:tcPr>
          <w:p>
            <w:pPr>
              <w:jc w:val="center"/>
            </w:pPr>
            <w:r>
              <w:rPr>
                <w:rFonts w:ascii="Arial" w:hAnsi="Arial"/>
                <w:color w:val="2B2F38"/>
                <w:sz w:val="16"/>
              </w:rPr>
              <w:t>[ ] Y  [ ] N</w:t>
            </w:r>
          </w:p>
        </w:tc>
      </w:tr>
      <w:tr>
        <w:tc>
          <w:tcPr>
            <w:tcW w:type="dxa" w:w="2401"/>
            <w:tcMar>
              <w:top w:w="100" w:type="dxa"/>
              <w:bottom w:w="100" w:type="dxa"/>
              <w:left w:w="100" w:type="dxa"/>
              <w:right w:w="100" w:type="dxa"/>
            </w:tcMar>
          </w:tcPr>
          <w:p>
            <w:r>
              <w:rPr>
                <w:rFonts w:ascii="Arial" w:hAnsi="Arial"/>
                <w:b/>
                <w:color w:val="2B2F38"/>
                <w:sz w:val="17"/>
              </w:rPr>
              <w:t>Isivande Women's Fund (IWF)</w:t>
              <w:br/>
            </w:r>
          </w:p>
        </w:tc>
        <w:tc>
          <w:tcPr>
            <w:tcW w:type="dxa" w:w="2401"/>
            <w:tcMar>
              <w:top w:w="100" w:type="dxa"/>
              <w:bottom w:w="100" w:type="dxa"/>
              <w:left w:w="100" w:type="dxa"/>
              <w:right w:w="100" w:type="dxa"/>
            </w:tcMar>
          </w:tcPr>
          <w:p>
            <w:r>
              <w:rPr>
                <w:rFonts w:ascii="Arial" w:hAnsi="Arial"/>
                <w:color w:val="6B7280"/>
                <w:sz w:val="16"/>
              </w:rPr>
              <w:t>Targeted fund accelerating women economic empowerment through debt financing and business support.</w:t>
            </w:r>
          </w:p>
        </w:tc>
        <w:tc>
          <w:tcPr>
            <w:tcW w:type="dxa" w:w="2401"/>
            <w:tcMar>
              <w:top w:w="100" w:type="dxa"/>
              <w:bottom w:w="100" w:type="dxa"/>
              <w:left w:w="100" w:type="dxa"/>
              <w:right w:w="100" w:type="dxa"/>
            </w:tcMar>
          </w:tcPr>
          <w:p>
            <w:pPr>
              <w:jc w:val="center"/>
            </w:pPr>
            <w:r>
              <w:rPr>
                <w:rFonts w:ascii="Arial" w:hAnsi="Arial"/>
                <w:color w:val="2B2F38"/>
                <w:sz w:val="16"/>
              </w:rPr>
              <w:t>50%+ Women Owned</w:t>
            </w:r>
          </w:p>
        </w:tc>
        <w:tc>
          <w:tcPr>
            <w:tcW w:type="dxa" w:w="2401"/>
            <w:tcMar>
              <w:top w:w="100" w:type="dxa"/>
              <w:bottom w:w="100" w:type="dxa"/>
              <w:left w:w="100" w:type="dxa"/>
              <w:right w:w="100" w:type="dxa"/>
            </w:tcMar>
          </w:tcPr>
          <w:p>
            <w:pPr>
              <w:jc w:val="center"/>
            </w:pPr>
            <w:r>
              <w:rPr>
                <w:rFonts w:ascii="Arial" w:hAnsi="Arial"/>
                <w:color w:val="2B2F38"/>
                <w:sz w:val="16"/>
              </w:rPr>
              <w:t>[ ] Y  [ ] N</w:t>
            </w:r>
          </w:p>
        </w:tc>
      </w:tr>
    </w:tbl>
    <w:p>
      <w:pPr>
        <w:spacing w:before="80" w:after="40"/>
      </w:pPr>
    </w:p>
    <w:p>
      <w:pPr>
        <w:keepNext/>
        <w:spacing w:before="280" w:after="80"/>
      </w:pPr>
      <w:r>
        <w:rPr>
          <w:rFonts w:ascii="Arial" w:hAnsi="Arial"/>
          <w:b/>
          <w:color w:val="2B2F38"/>
          <w:sz w:val="23"/>
        </w:rPr>
        <w:t>4. Key Strategic Considerations Before Applying</w:t>
      </w:r>
    </w:p>
    <w:tbl>
      <w:tblPr>
        <w:tblW w:type="auto" w:w="0"/>
        <w:jc w:val="center"/>
        <w:tblLayout w:type="fixed"/>
        <w:tblLook w:firstColumn="1" w:firstRow="1" w:lastColumn="0" w:lastRow="0" w:noHBand="0" w:noVBand="1" w:val="04A0"/>
        <w:tblBorders>
          <w:top w:val="none"/>
          <w:bottom w:val="none"/>
          <w:left w:val="single" w:sz="24" w:space="0" w:color="D4A243"/>
          <w:right w:val="none"/>
          <w:insideH w:val="none"/>
          <w:insideV w:val="none"/>
        </w:tblBorders>
      </w:tblPr>
      <w:tblGrid>
        <w:gridCol w:w="9605"/>
      </w:tblGrid>
      <w:tr>
        <w:tc>
          <w:tcPr>
            <w:tcW w:type="dxa" w:w="9605"/>
            <w:shd w:fill="F4F5F7"/>
            <w:tcMar>
              <w:top w:w="80" w:type="dxa"/>
              <w:bottom w:w="80" w:type="dxa"/>
              <w:left w:w="120" w:type="dxa"/>
              <w:right w:w="120" w:type="dxa"/>
            </w:tcMar>
          </w:tcPr>
          <w:p>
            <w:pPr>
              <w:spacing w:before="0" w:after="0"/>
            </w:pPr>
            <w:r>
              <w:rPr>
                <w:rFonts w:ascii="Arial" w:hAnsi="Arial"/>
                <w:b/>
                <w:color w:val="D4A243"/>
                <w:sz w:val="18"/>
              </w:rPr>
              <w:t xml:space="preserve">PROMPT: </w:t>
            </w:r>
            <w:r>
              <w:rPr>
                <w:rFonts w:ascii="Arial" w:hAnsi="Arial"/>
                <w:i/>
                <w:color w:val="2B2F38"/>
                <w:sz w:val="18"/>
              </w:rPr>
              <w:t>Securing funding has long-term implications for equity, control, and cash commitments. Run through this readiness checklist.</w:t>
            </w:r>
          </w:p>
        </w:tc>
      </w:tr>
    </w:tbl>
    <w:p>
      <w:pPr>
        <w:spacing w:before="0" w:after="80"/>
      </w:pPr>
    </w:p>
    <w:tbl>
      <w:tblPr>
        <w:tblW w:type="auto" w:w="0"/>
        <w:jc w:val="center"/>
        <w:tblLayout w:type="fixed"/>
        <w:tblLook w:firstColumn="1" w:firstRow="1" w:lastColumn="0" w:lastRow="0" w:noHBand="0" w:noVBand="1" w:val="04A0"/>
        <w:tblBorders>
          <w:top w:val="single" w:sz="4" w:space="0" w:color="D1D5DB"/>
          <w:bottom w:val="single" w:sz="4" w:space="0" w:color="D1D5DB"/>
          <w:left w:val="none"/>
          <w:right w:val="none"/>
          <w:insideH w:val="single" w:sz="4" w:space="0" w:color="D1D5DB"/>
          <w:insideV w:val="none"/>
        </w:tblBorders>
      </w:tblPr>
      <w:tblGrid>
        <w:gridCol w:w="2592"/>
        <w:gridCol w:w="5717"/>
        <w:gridCol w:w="1296"/>
      </w:tblGrid>
      <w:tr>
        <w:tc>
          <w:tcPr>
            <w:tcW w:type="dxa" w:w="3202"/>
            <w:shd w:fill="E5E7EB"/>
            <w:tcMar>
              <w:top w:w="100" w:type="dxa"/>
              <w:bottom w:w="100" w:type="dxa"/>
              <w:left w:w="100" w:type="dxa"/>
              <w:right w:w="100" w:type="dxa"/>
            </w:tcMar>
          </w:tcPr>
          <w:p>
            <w:pPr>
              <w:jc w:val="left"/>
            </w:pPr>
            <w:r>
              <w:rPr>
                <w:rFonts w:ascii="Arial" w:hAnsi="Arial"/>
                <w:b/>
                <w:color w:val="2B2F38"/>
                <w:sz w:val="18"/>
              </w:rPr>
              <w:t>Strategic Dimension</w:t>
            </w:r>
          </w:p>
        </w:tc>
        <w:tc>
          <w:tcPr>
            <w:tcW w:type="dxa" w:w="3202"/>
            <w:shd w:fill="E5E7EB"/>
            <w:tcMar>
              <w:top w:w="100" w:type="dxa"/>
              <w:bottom w:w="100" w:type="dxa"/>
              <w:left w:w="100" w:type="dxa"/>
              <w:right w:w="100" w:type="dxa"/>
            </w:tcMar>
          </w:tcPr>
          <w:p>
            <w:pPr>
              <w:jc w:val="left"/>
            </w:pPr>
            <w:r>
              <w:rPr>
                <w:rFonts w:ascii="Arial" w:hAnsi="Arial"/>
                <w:b/>
                <w:color w:val="2B2F38"/>
                <w:sz w:val="18"/>
              </w:rPr>
              <w:t>Assessment Question &amp; Guidance</w:t>
            </w:r>
          </w:p>
        </w:tc>
        <w:tc>
          <w:tcPr>
            <w:tcW w:type="dxa" w:w="3202"/>
            <w:shd w:fill="E5E7EB"/>
            <w:tcMar>
              <w:top w:w="100" w:type="dxa"/>
              <w:bottom w:w="100" w:type="dxa"/>
              <w:left w:w="100" w:type="dxa"/>
              <w:right w:w="100" w:type="dxa"/>
            </w:tcMar>
          </w:tcPr>
          <w:p>
            <w:pPr>
              <w:jc w:val="center"/>
            </w:pPr>
            <w:r>
              <w:rPr>
                <w:rFonts w:ascii="Arial" w:hAnsi="Arial"/>
                <w:b/>
                <w:color w:val="2B2F38"/>
                <w:sz w:val="18"/>
              </w:rPr>
              <w:t>Ready?</w:t>
            </w:r>
          </w:p>
        </w:tc>
      </w:tr>
      <w:tr>
        <w:tc>
          <w:tcPr>
            <w:tcW w:type="dxa" w:w="3202"/>
            <w:tcMar>
              <w:top w:w="100" w:type="dxa"/>
              <w:bottom w:w="100" w:type="dxa"/>
              <w:left w:w="100" w:type="dxa"/>
              <w:right w:w="100" w:type="dxa"/>
            </w:tcMar>
          </w:tcPr>
          <w:p>
            <w:r>
              <w:rPr>
                <w:rFonts w:ascii="Arial" w:hAnsi="Arial"/>
                <w:b/>
                <w:color w:val="2B2F38"/>
                <w:sz w:val="17"/>
              </w:rPr>
              <w:t>Documentation &amp; Governance</w:t>
            </w:r>
          </w:p>
        </w:tc>
        <w:tc>
          <w:tcPr>
            <w:tcW w:type="dxa" w:w="3202"/>
            <w:tcMar>
              <w:top w:w="100" w:type="dxa"/>
              <w:bottom w:w="100" w:type="dxa"/>
              <w:left w:w="100" w:type="dxa"/>
              <w:right w:w="100" w:type="dxa"/>
            </w:tcMar>
          </w:tcPr>
          <w:p>
            <w:r>
              <w:rPr>
                <w:rFonts w:ascii="Arial" w:hAnsi="Arial"/>
                <w:color w:val="6B7280"/>
                <w:sz w:val="16"/>
              </w:rPr>
              <w:t>Do you have a completed business plan, 3-year cash flow projections, up-to-date CIPC registration, and tax clearance via SARS eFiling?</w:t>
            </w:r>
          </w:p>
        </w:tc>
        <w:tc>
          <w:tcPr>
            <w:tcW w:type="dxa" w:w="3202"/>
            <w:tcMar>
              <w:top w:w="100" w:type="dxa"/>
              <w:bottom w:w="100" w:type="dxa"/>
              <w:left w:w="100" w:type="dxa"/>
              <w:right w:w="100" w:type="dxa"/>
            </w:tcMar>
          </w:tcPr>
          <w:p>
            <w:pPr>
              <w:jc w:val="center"/>
            </w:pPr>
            <w:r>
              <w:rPr>
                <w:rFonts w:ascii="Arial" w:hAnsi="Arial"/>
                <w:color w:val="2B2F38"/>
                <w:sz w:val="16"/>
              </w:rPr>
              <w:t>[ ] Y  [ ] N</w:t>
            </w:r>
          </w:p>
        </w:tc>
      </w:tr>
      <w:tr>
        <w:tc>
          <w:tcPr>
            <w:tcW w:type="dxa" w:w="3202"/>
            <w:tcMar>
              <w:top w:w="100" w:type="dxa"/>
              <w:bottom w:w="100" w:type="dxa"/>
              <w:left w:w="100" w:type="dxa"/>
              <w:right w:w="100" w:type="dxa"/>
            </w:tcMar>
          </w:tcPr>
          <w:p>
            <w:r>
              <w:rPr>
                <w:rFonts w:ascii="Arial" w:hAnsi="Arial"/>
                <w:b/>
                <w:color w:val="2B2F38"/>
                <w:sz w:val="17"/>
              </w:rPr>
              <w:t>Cost of Capital &amp; Dilution</w:t>
            </w:r>
          </w:p>
        </w:tc>
        <w:tc>
          <w:tcPr>
            <w:tcW w:type="dxa" w:w="3202"/>
            <w:tcMar>
              <w:top w:w="100" w:type="dxa"/>
              <w:bottom w:w="100" w:type="dxa"/>
              <w:left w:w="100" w:type="dxa"/>
              <w:right w:w="100" w:type="dxa"/>
            </w:tcMar>
          </w:tcPr>
          <w:p>
            <w:r>
              <w:rPr>
                <w:rFonts w:ascii="Arial" w:hAnsi="Arial"/>
                <w:color w:val="6B7280"/>
                <w:sz w:val="16"/>
              </w:rPr>
              <w:t>Have you factored in total interest costs, loan origination fees, personal surety risks, or the equity stake / voting control forfeited?</w:t>
            </w:r>
          </w:p>
        </w:tc>
        <w:tc>
          <w:tcPr>
            <w:tcW w:type="dxa" w:w="3202"/>
            <w:tcMar>
              <w:top w:w="100" w:type="dxa"/>
              <w:bottom w:w="100" w:type="dxa"/>
              <w:left w:w="100" w:type="dxa"/>
              <w:right w:w="100" w:type="dxa"/>
            </w:tcMar>
          </w:tcPr>
          <w:p>
            <w:pPr>
              <w:jc w:val="center"/>
            </w:pPr>
            <w:r>
              <w:rPr>
                <w:rFonts w:ascii="Arial" w:hAnsi="Arial"/>
                <w:color w:val="2B2F38"/>
                <w:sz w:val="16"/>
              </w:rPr>
              <w:t>[ ] Y  [ ] N</w:t>
            </w:r>
          </w:p>
        </w:tc>
      </w:tr>
      <w:tr>
        <w:tc>
          <w:tcPr>
            <w:tcW w:type="dxa" w:w="3202"/>
            <w:tcMar>
              <w:top w:w="100" w:type="dxa"/>
              <w:bottom w:w="100" w:type="dxa"/>
              <w:left w:w="100" w:type="dxa"/>
              <w:right w:w="100" w:type="dxa"/>
            </w:tcMar>
          </w:tcPr>
          <w:p>
            <w:r>
              <w:rPr>
                <w:rFonts w:ascii="Arial" w:hAnsi="Arial"/>
                <w:b/>
                <w:color w:val="2B2F38"/>
                <w:sz w:val="17"/>
              </w:rPr>
              <w:t>Disbursement Timelines</w:t>
            </w:r>
          </w:p>
        </w:tc>
        <w:tc>
          <w:tcPr>
            <w:tcW w:type="dxa" w:w="3202"/>
            <w:tcMar>
              <w:top w:w="100" w:type="dxa"/>
              <w:bottom w:w="100" w:type="dxa"/>
              <w:left w:w="100" w:type="dxa"/>
              <w:right w:w="100" w:type="dxa"/>
            </w:tcMar>
          </w:tcPr>
          <w:p>
            <w:r>
              <w:rPr>
                <w:rFonts w:ascii="Arial" w:hAnsi="Arial"/>
                <w:color w:val="6B7280"/>
                <w:sz w:val="16"/>
              </w:rPr>
              <w:t>Does the funder's turnaround match your cash need? Commercial banks take 2–6 weeks; DFIs / government grants typically take 3–9 months.</w:t>
            </w:r>
          </w:p>
        </w:tc>
        <w:tc>
          <w:tcPr>
            <w:tcW w:type="dxa" w:w="3202"/>
            <w:tcMar>
              <w:top w:w="100" w:type="dxa"/>
              <w:bottom w:w="100" w:type="dxa"/>
              <w:left w:w="100" w:type="dxa"/>
              <w:right w:w="100" w:type="dxa"/>
            </w:tcMar>
          </w:tcPr>
          <w:p>
            <w:pPr>
              <w:jc w:val="center"/>
            </w:pPr>
            <w:r>
              <w:rPr>
                <w:rFonts w:ascii="Arial" w:hAnsi="Arial"/>
                <w:color w:val="2B2F38"/>
                <w:sz w:val="16"/>
              </w:rPr>
              <w:t>[ ] Y  [ ] N</w:t>
            </w:r>
          </w:p>
        </w:tc>
      </w:tr>
      <w:tr>
        <w:tc>
          <w:tcPr>
            <w:tcW w:type="dxa" w:w="3202"/>
            <w:tcMar>
              <w:top w:w="100" w:type="dxa"/>
              <w:bottom w:w="100" w:type="dxa"/>
              <w:left w:w="100" w:type="dxa"/>
              <w:right w:w="100" w:type="dxa"/>
            </w:tcMar>
          </w:tcPr>
          <w:p>
            <w:r>
              <w:rPr>
                <w:rFonts w:ascii="Arial" w:hAnsi="Arial"/>
                <w:b/>
                <w:color w:val="2B2F38"/>
                <w:sz w:val="17"/>
              </w:rPr>
              <w:t>Repayment Cash Flow</w:t>
            </w:r>
          </w:p>
        </w:tc>
        <w:tc>
          <w:tcPr>
            <w:tcW w:type="dxa" w:w="3202"/>
            <w:tcMar>
              <w:top w:w="100" w:type="dxa"/>
              <w:bottom w:w="100" w:type="dxa"/>
              <w:left w:w="100" w:type="dxa"/>
              <w:right w:w="100" w:type="dxa"/>
            </w:tcMar>
          </w:tcPr>
          <w:p>
            <w:r>
              <w:rPr>
                <w:rFonts w:ascii="Arial" w:hAnsi="Arial"/>
                <w:color w:val="6B7280"/>
                <w:sz w:val="16"/>
              </w:rPr>
              <w:t>Can your monthly cash gross margin comfortably service repayment terms without draining working capital during slow seasons?</w:t>
            </w:r>
          </w:p>
        </w:tc>
        <w:tc>
          <w:tcPr>
            <w:tcW w:type="dxa" w:w="3202"/>
            <w:tcMar>
              <w:top w:w="100" w:type="dxa"/>
              <w:bottom w:w="100" w:type="dxa"/>
              <w:left w:w="100" w:type="dxa"/>
              <w:right w:w="100" w:type="dxa"/>
            </w:tcMar>
          </w:tcPr>
          <w:p>
            <w:pPr>
              <w:jc w:val="center"/>
            </w:pPr>
            <w:r>
              <w:rPr>
                <w:rFonts w:ascii="Arial" w:hAnsi="Arial"/>
                <w:color w:val="2B2F38"/>
                <w:sz w:val="16"/>
              </w:rPr>
              <w:t>[ ] Y  [ ] N</w:t>
            </w:r>
          </w:p>
        </w:tc>
      </w:tr>
    </w:tbl>
    <w:p>
      <w:pPr>
        <w:spacing w:before="80" w:after="40"/>
      </w:pPr>
    </w:p>
    <w:p>
      <w:pPr>
        <w:keepNext/>
        <w:spacing w:before="280" w:after="80"/>
      </w:pPr>
      <w:r>
        <w:rPr>
          <w:rFonts w:ascii="Arial" w:hAnsi="Arial"/>
          <w:b/>
          <w:color w:val="2B2F38"/>
          <w:sz w:val="23"/>
        </w:rPr>
        <w:t>5. Your Funding Action Plan</w:t>
      </w:r>
    </w:p>
    <w:tbl>
      <w:tblPr>
        <w:tblW w:type="auto" w:w="0"/>
        <w:jc w:val="center"/>
        <w:tblLayout w:type="fixed"/>
        <w:tblLook w:firstColumn="1" w:firstRow="1" w:lastColumn="0" w:lastRow="0" w:noHBand="0" w:noVBand="1" w:val="04A0"/>
        <w:tblBorders>
          <w:top w:val="none"/>
          <w:bottom w:val="none"/>
          <w:left w:val="single" w:sz="24" w:space="0" w:color="D4A243"/>
          <w:right w:val="none"/>
          <w:insideH w:val="none"/>
          <w:insideV w:val="none"/>
        </w:tblBorders>
      </w:tblPr>
      <w:tblGrid>
        <w:gridCol w:w="9605"/>
      </w:tblGrid>
      <w:tr>
        <w:tc>
          <w:tcPr>
            <w:tcW w:type="dxa" w:w="9605"/>
            <w:shd w:fill="F4F5F7"/>
            <w:tcMar>
              <w:top w:w="80" w:type="dxa"/>
              <w:bottom w:w="80" w:type="dxa"/>
              <w:left w:w="120" w:type="dxa"/>
              <w:right w:w="120" w:type="dxa"/>
            </w:tcMar>
          </w:tcPr>
          <w:p>
            <w:pPr>
              <w:spacing w:before="0" w:after="0"/>
            </w:pPr>
            <w:r>
              <w:rPr>
                <w:rFonts w:ascii="Arial" w:hAnsi="Arial"/>
                <w:b/>
                <w:color w:val="D4A243"/>
                <w:sz w:val="18"/>
              </w:rPr>
              <w:t xml:space="preserve">PROMPT: </w:t>
            </w:r>
            <w:r>
              <w:rPr>
                <w:rFonts w:ascii="Arial" w:hAnsi="Arial"/>
                <w:i/>
                <w:color w:val="2B2F38"/>
                <w:sz w:val="18"/>
              </w:rPr>
              <w:t>Synthesize your assessment into concrete milestones. Select your top 3 realistic funding avenues and set strict deadlines.</w:t>
            </w:r>
          </w:p>
        </w:tc>
      </w:tr>
    </w:tbl>
    <w:p>
      <w:pPr>
        <w:spacing w:before="0" w:after="80"/>
      </w:pPr>
    </w:p>
    <w:tbl>
      <w:tblPr>
        <w:tblW w:type="auto" w:w="0"/>
        <w:jc w:val="center"/>
        <w:tblLayout w:type="fixed"/>
        <w:tblLook w:firstColumn="1" w:firstRow="1" w:lastColumn="0" w:lastRow="0" w:noHBand="0" w:noVBand="1" w:val="04A0"/>
        <w:tblBorders>
          <w:top w:val="single" w:sz="4" w:space="0" w:color="D1D5DB"/>
          <w:bottom w:val="single" w:sz="4" w:space="0" w:color="D1D5DB"/>
          <w:left w:val="none"/>
          <w:right w:val="none"/>
          <w:insideH w:val="single" w:sz="4" w:space="0" w:color="D1D5DB"/>
          <w:insideV w:val="none"/>
        </w:tblBorders>
      </w:tblPr>
      <w:tblGrid>
        <w:gridCol w:w="720"/>
        <w:gridCol w:w="2880"/>
        <w:gridCol w:w="4133"/>
        <w:gridCol w:w="1872"/>
      </w:tblGrid>
      <w:tr>
        <w:tc>
          <w:tcPr>
            <w:tcW w:type="dxa" w:w="2401"/>
            <w:shd w:fill="E5E7EB"/>
            <w:tcMar>
              <w:top w:w="100" w:type="dxa"/>
              <w:bottom w:w="100" w:type="dxa"/>
              <w:left w:w="100" w:type="dxa"/>
              <w:right w:w="100" w:type="dxa"/>
            </w:tcMar>
          </w:tcPr>
          <w:p>
            <w:pPr>
              <w:jc w:val="center"/>
            </w:pPr>
            <w:r>
              <w:rPr>
                <w:rFonts w:ascii="Arial" w:hAnsi="Arial"/>
                <w:b/>
                <w:color w:val="2B2F38"/>
                <w:sz w:val="18"/>
              </w:rPr>
              <w:t>#</w:t>
            </w:r>
          </w:p>
        </w:tc>
        <w:tc>
          <w:tcPr>
            <w:tcW w:type="dxa" w:w="2401"/>
            <w:shd w:fill="E5E7EB"/>
            <w:tcMar>
              <w:top w:w="100" w:type="dxa"/>
              <w:bottom w:w="100" w:type="dxa"/>
              <w:left w:w="100" w:type="dxa"/>
              <w:right w:w="100" w:type="dxa"/>
            </w:tcMar>
          </w:tcPr>
          <w:p>
            <w:pPr>
              <w:jc w:val="left"/>
            </w:pPr>
            <w:r>
              <w:rPr>
                <w:rFonts w:ascii="Arial" w:hAnsi="Arial"/>
                <w:b/>
                <w:color w:val="2B2F38"/>
                <w:sz w:val="18"/>
              </w:rPr>
              <w:t>Target Funding Source</w:t>
            </w:r>
          </w:p>
        </w:tc>
        <w:tc>
          <w:tcPr>
            <w:tcW w:type="dxa" w:w="2401"/>
            <w:shd w:fill="E5E7EB"/>
            <w:tcMar>
              <w:top w:w="100" w:type="dxa"/>
              <w:bottom w:w="100" w:type="dxa"/>
              <w:left w:w="100" w:type="dxa"/>
              <w:right w:w="100" w:type="dxa"/>
            </w:tcMar>
          </w:tcPr>
          <w:p>
            <w:pPr>
              <w:jc w:val="left"/>
            </w:pPr>
            <w:r>
              <w:rPr>
                <w:rFonts w:ascii="Arial" w:hAnsi="Arial"/>
                <w:b/>
                <w:color w:val="2B2F38"/>
                <w:sz w:val="18"/>
              </w:rPr>
              <w:t>Specific Immediate Action Step</w:t>
            </w:r>
          </w:p>
        </w:tc>
        <w:tc>
          <w:tcPr>
            <w:tcW w:type="dxa" w:w="2401"/>
            <w:shd w:fill="E5E7EB"/>
            <w:tcMar>
              <w:top w:w="100" w:type="dxa"/>
              <w:bottom w:w="100" w:type="dxa"/>
              <w:left w:w="100" w:type="dxa"/>
              <w:right w:w="100" w:type="dxa"/>
            </w:tcMar>
          </w:tcPr>
          <w:p>
            <w:pPr>
              <w:jc w:val="center"/>
            </w:pPr>
            <w:r>
              <w:rPr>
                <w:rFonts w:ascii="Arial" w:hAnsi="Arial"/>
                <w:b/>
                <w:color w:val="2B2F38"/>
                <w:sz w:val="18"/>
              </w:rPr>
              <w:t>Target Deadline</w:t>
            </w:r>
          </w:p>
        </w:tc>
      </w:tr>
      <w:tr>
        <w:tc>
          <w:tcPr>
            <w:tcW w:type="dxa" w:w="2401"/>
            <w:tcMar>
              <w:top w:w="120" w:type="dxa"/>
              <w:bottom w:w="120" w:type="dxa"/>
              <w:left w:w="100" w:type="dxa"/>
              <w:right w:w="100" w:type="dxa"/>
            </w:tcMar>
          </w:tcPr>
          <w:p>
            <w:pPr>
              <w:jc w:val="center"/>
            </w:pPr>
            <w:r>
              <w:rPr>
                <w:rFonts w:ascii="Arial" w:hAnsi="Arial"/>
                <w:b/>
                <w:color w:val="D4A243"/>
                <w:sz w:val="18"/>
              </w:rPr>
              <w:t>01</w:t>
            </w:r>
          </w:p>
        </w:tc>
        <w:tc>
          <w:tcPr>
            <w:tcW w:type="dxa" w:w="2401"/>
            <w:tcMar>
              <w:top w:w="120" w:type="dxa"/>
              <w:bottom w:w="120" w:type="dxa"/>
              <w:left w:w="100" w:type="dxa"/>
              <w:right w:w="100" w:type="dxa"/>
            </w:tcMar>
          </w:tcPr>
          <w:p>
            <w:r>
              <w:rPr>
                <w:rFonts w:ascii="Arial" w:hAnsi="Arial"/>
                <w:b/>
                <w:color w:val="2B2F38"/>
                <w:sz w:val="17"/>
              </w:rPr>
              <w:t>Priority Source 1:</w:t>
              <w:br/>
            </w:r>
            <w:r>
              <w:rPr>
                <w:rFonts w:ascii="Arial" w:hAnsi="Arial"/>
                <w:color w:val="9CA3AF"/>
                <w:sz w:val="16"/>
              </w:rPr>
              <w:t>(e.g., SEFA SME Facility / Bank)</w:t>
            </w:r>
          </w:p>
        </w:tc>
        <w:tc>
          <w:tcPr>
            <w:tcW w:type="dxa" w:w="2401"/>
            <w:tcMar>
              <w:top w:w="120" w:type="dxa"/>
              <w:bottom w:w="120" w:type="dxa"/>
              <w:left w:w="100" w:type="dxa"/>
              <w:right w:w="100" w:type="dxa"/>
            </w:tcMar>
          </w:tcPr>
          <w:p>
            <w:r>
              <w:rPr>
                <w:rFonts w:ascii="Arial" w:hAnsi="Arial"/>
                <w:color w:val="9CA3AF"/>
                <w:sz w:val="17"/>
              </w:rPr>
              <w:t>(e.g., Compile SARS PIN, 3-yr forecast &amp; submit online portal application...)</w:t>
            </w:r>
          </w:p>
        </w:tc>
        <w:tc>
          <w:tcPr>
            <w:tcW w:type="dxa" w:w="2401"/>
            <w:tcMar>
              <w:top w:w="120" w:type="dxa"/>
              <w:bottom w:w="120" w:type="dxa"/>
              <w:left w:w="100" w:type="dxa"/>
              <w:right w:w="100" w:type="dxa"/>
            </w:tcMar>
          </w:tcPr>
          <w:p>
            <w:pPr>
              <w:jc w:val="center"/>
            </w:pPr>
            <w:r>
              <w:rPr>
                <w:rFonts w:ascii="Arial" w:hAnsi="Arial"/>
                <w:color w:val="6B7280"/>
                <w:sz w:val="17"/>
              </w:rPr>
              <w:t>DD / MM / YYYY</w:t>
            </w:r>
          </w:p>
        </w:tc>
      </w:tr>
      <w:tr>
        <w:tc>
          <w:tcPr>
            <w:tcW w:type="dxa" w:w="2401"/>
            <w:tcMar>
              <w:top w:w="120" w:type="dxa"/>
              <w:bottom w:w="120" w:type="dxa"/>
              <w:left w:w="100" w:type="dxa"/>
              <w:right w:w="100" w:type="dxa"/>
            </w:tcMar>
          </w:tcPr>
          <w:p>
            <w:pPr>
              <w:jc w:val="center"/>
            </w:pPr>
            <w:r>
              <w:rPr>
                <w:rFonts w:ascii="Arial" w:hAnsi="Arial"/>
                <w:b/>
                <w:color w:val="D4A243"/>
                <w:sz w:val="18"/>
              </w:rPr>
              <w:t>02</w:t>
            </w:r>
          </w:p>
        </w:tc>
        <w:tc>
          <w:tcPr>
            <w:tcW w:type="dxa" w:w="2401"/>
            <w:tcMar>
              <w:top w:w="120" w:type="dxa"/>
              <w:bottom w:w="120" w:type="dxa"/>
              <w:left w:w="100" w:type="dxa"/>
              <w:right w:w="100" w:type="dxa"/>
            </w:tcMar>
          </w:tcPr>
          <w:p>
            <w:r>
              <w:rPr>
                <w:rFonts w:ascii="Arial" w:hAnsi="Arial"/>
                <w:b/>
                <w:color w:val="2B2F38"/>
                <w:sz w:val="17"/>
              </w:rPr>
              <w:t>Priority Source 2:</w:t>
              <w:br/>
            </w:r>
            <w:r>
              <w:rPr>
                <w:rFonts w:ascii="Arial" w:hAnsi="Arial"/>
                <w:color w:val="9CA3AF"/>
                <w:sz w:val="16"/>
              </w:rPr>
              <w:t>(e.g., SEFA SME Facility / Bank)</w:t>
            </w:r>
          </w:p>
        </w:tc>
        <w:tc>
          <w:tcPr>
            <w:tcW w:type="dxa" w:w="2401"/>
            <w:tcMar>
              <w:top w:w="120" w:type="dxa"/>
              <w:bottom w:w="120" w:type="dxa"/>
              <w:left w:w="100" w:type="dxa"/>
              <w:right w:w="100" w:type="dxa"/>
            </w:tcMar>
          </w:tcPr>
          <w:p>
            <w:r>
              <w:rPr>
                <w:rFonts w:ascii="Arial" w:hAnsi="Arial"/>
                <w:color w:val="9CA3AF"/>
                <w:sz w:val="17"/>
              </w:rPr>
              <w:t>(e.g., Compile SARS PIN, 3-yr forecast &amp; submit online portal application...)</w:t>
            </w:r>
          </w:p>
        </w:tc>
        <w:tc>
          <w:tcPr>
            <w:tcW w:type="dxa" w:w="2401"/>
            <w:tcMar>
              <w:top w:w="120" w:type="dxa"/>
              <w:bottom w:w="120" w:type="dxa"/>
              <w:left w:w="100" w:type="dxa"/>
              <w:right w:w="100" w:type="dxa"/>
            </w:tcMar>
          </w:tcPr>
          <w:p>
            <w:pPr>
              <w:jc w:val="center"/>
            </w:pPr>
            <w:r>
              <w:rPr>
                <w:rFonts w:ascii="Arial" w:hAnsi="Arial"/>
                <w:color w:val="6B7280"/>
                <w:sz w:val="17"/>
              </w:rPr>
              <w:t>DD / MM / YYYY</w:t>
            </w:r>
          </w:p>
        </w:tc>
      </w:tr>
      <w:tr>
        <w:tc>
          <w:tcPr>
            <w:tcW w:type="dxa" w:w="2401"/>
            <w:tcMar>
              <w:top w:w="120" w:type="dxa"/>
              <w:bottom w:w="120" w:type="dxa"/>
              <w:left w:w="100" w:type="dxa"/>
              <w:right w:w="100" w:type="dxa"/>
            </w:tcMar>
          </w:tcPr>
          <w:p>
            <w:pPr>
              <w:jc w:val="center"/>
            </w:pPr>
            <w:r>
              <w:rPr>
                <w:rFonts w:ascii="Arial" w:hAnsi="Arial"/>
                <w:b/>
                <w:color w:val="D4A243"/>
                <w:sz w:val="18"/>
              </w:rPr>
              <w:t>03</w:t>
            </w:r>
          </w:p>
        </w:tc>
        <w:tc>
          <w:tcPr>
            <w:tcW w:type="dxa" w:w="2401"/>
            <w:tcMar>
              <w:top w:w="120" w:type="dxa"/>
              <w:bottom w:w="120" w:type="dxa"/>
              <w:left w:w="100" w:type="dxa"/>
              <w:right w:w="100" w:type="dxa"/>
            </w:tcMar>
          </w:tcPr>
          <w:p>
            <w:r>
              <w:rPr>
                <w:rFonts w:ascii="Arial" w:hAnsi="Arial"/>
                <w:b/>
                <w:color w:val="2B2F38"/>
                <w:sz w:val="17"/>
              </w:rPr>
              <w:t>Priority Source 3:</w:t>
              <w:br/>
            </w:r>
            <w:r>
              <w:rPr>
                <w:rFonts w:ascii="Arial" w:hAnsi="Arial"/>
                <w:color w:val="9CA3AF"/>
                <w:sz w:val="16"/>
              </w:rPr>
              <w:t>(e.g., SEFA SME Facility / Bank)</w:t>
            </w:r>
          </w:p>
        </w:tc>
        <w:tc>
          <w:tcPr>
            <w:tcW w:type="dxa" w:w="2401"/>
            <w:tcMar>
              <w:top w:w="120" w:type="dxa"/>
              <w:bottom w:w="120" w:type="dxa"/>
              <w:left w:w="100" w:type="dxa"/>
              <w:right w:w="100" w:type="dxa"/>
            </w:tcMar>
          </w:tcPr>
          <w:p>
            <w:r>
              <w:rPr>
                <w:rFonts w:ascii="Arial" w:hAnsi="Arial"/>
                <w:color w:val="9CA3AF"/>
                <w:sz w:val="17"/>
              </w:rPr>
              <w:t>(e.g., Compile SARS PIN, 3-yr forecast &amp; submit online portal application...)</w:t>
            </w:r>
          </w:p>
        </w:tc>
        <w:tc>
          <w:tcPr>
            <w:tcW w:type="dxa" w:w="2401"/>
            <w:tcMar>
              <w:top w:w="120" w:type="dxa"/>
              <w:bottom w:w="120" w:type="dxa"/>
              <w:left w:w="100" w:type="dxa"/>
              <w:right w:w="100" w:type="dxa"/>
            </w:tcMar>
          </w:tcPr>
          <w:p>
            <w:pPr>
              <w:jc w:val="center"/>
            </w:pPr>
            <w:r>
              <w:rPr>
                <w:rFonts w:ascii="Arial" w:hAnsi="Arial"/>
                <w:color w:val="6B7280"/>
                <w:sz w:val="17"/>
              </w:rPr>
              <w:t>DD / MM / YYYY</w:t>
            </w:r>
          </w:p>
        </w:tc>
      </w:tr>
    </w:tbl>
    <w:sectPr w:rsidR="00FC693F" w:rsidRPr="0006063C" w:rsidSect="00034616">
      <w:headerReference w:type="default" r:id="rId9"/>
      <w:footerReference w:type="default" r:id="rId10"/>
      <w:pgSz w:w="11909" w:h="16834"/>
      <w:pgMar w:top="1152" w:right="1152" w:bottom="1152" w:left="1152" w:header="576"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ayout w:type="fixed"/>
      <w:tblLook w:firstColumn="1" w:firstRow="1" w:lastColumn="0" w:lastRow="0" w:noHBand="0" w:noVBand="1" w:val="04A0"/>
      <w:tblBorders>
        <w:top w:val="single" w:sz="6" w:space="0" w:color="E5E7EB"/>
      </w:tblBorders>
    </w:tblPr>
    <w:tblGrid>
      <w:gridCol w:w="6912"/>
      <w:gridCol w:w="2693"/>
    </w:tblGrid>
    <w:tr>
      <w:tc>
        <w:tcPr>
          <w:tcW w:type="dxa" w:w="4802"/>
        </w:tcPr>
        <w:p>
          <w:pPr>
            <w:spacing w:before="80" w:after="0"/>
          </w:pPr>
          <w:r>
            <w:rPr>
              <w:rFonts w:ascii="Arial" w:hAnsi="Arial"/>
              <w:color w:val="6B7280"/>
              <w:sz w:val="16"/>
            </w:rPr>
            <w:t xml:space="preserve">Need business advice? Visit </w:t>
          </w:r>
          <w:r>
            <w:rPr>
              <w:rFonts w:ascii="Arial" w:hAnsi="Arial"/>
              <w:b/>
              <w:color w:val="2B2F38"/>
              <w:sz w:val="16"/>
            </w:rPr>
            <w:t>saaccountingsolutions.co.za</w:t>
            <w:br/>
          </w:r>
          <w:r>
            <w:rPr>
              <w:rFonts w:ascii="Arial" w:hAnsi="Arial"/>
              <w:color w:val="6B7280"/>
              <w:sz w:val="15"/>
            </w:rPr>
            <w:t>© SA Accounting Network • All rights reserved</w:t>
          </w:r>
        </w:p>
      </w:tc>
      <w:tc>
        <w:tcPr>
          <w:tcW w:type="dxa" w:w="4802"/>
        </w:tcPr>
        <w:p>
          <w:pPr>
            <w:spacing w:before="80" w:after="0"/>
            <w:jc w:val="right"/>
          </w:pPr>
          <w:r>
            <w:rPr>
              <w:rFonts w:ascii="Arial" w:hAnsi="Arial"/>
              <w:color w:val="6B7280"/>
              <w:sz w:val="16"/>
            </w:rPr>
            <w:t>Business Mentoring Guide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ayout w:type="fixed"/>
      <w:tblLook w:firstColumn="1" w:firstRow="1" w:lastColumn="0" w:lastRow="0" w:noHBand="0" w:noVBand="1" w:val="04A0"/>
      <w:tblBorders>
        <w:bottom w:val="single" w:sz="12" w:space="0" w:color="D4A243"/>
      </w:tblBorders>
    </w:tblPr>
    <w:tblGrid>
      <w:gridCol w:w="6480"/>
      <w:gridCol w:w="3125"/>
    </w:tblGrid>
    <w:tr>
      <w:tc>
        <w:tcPr>
          <w:tcW w:type="dxa" w:w="4802"/>
        </w:tcPr>
        <w:p>
          <w:pPr>
            <w:spacing w:before="0" w:after="40"/>
          </w:pPr>
          <w:r>
            <w:rPr>
              <w:rFonts w:ascii="Arial" w:hAnsi="Arial"/>
              <w:b/>
              <w:color w:val="2B2F38"/>
              <w:sz w:val="19"/>
            </w:rPr>
            <w:t>SA ACCOUNTING NETWORK</w:t>
            <w:br/>
          </w:r>
          <w:r>
            <w:rPr>
              <w:rFonts w:ascii="Arial" w:hAnsi="Arial"/>
              <w:color w:val="6B7280"/>
              <w:sz w:val="17"/>
            </w:rPr>
            <w:t>Free Business Mentoring Program</w:t>
          </w:r>
        </w:p>
      </w:tc>
      <w:tc>
        <w:tcPr>
          <w:tcW w:type="dxa" w:w="4802"/>
        </w:tcPr>
        <w:p>
          <w:pPr>
            <w:spacing w:before="0" w:after="40"/>
            <w:jc w:val="right"/>
          </w:pPr>
          <w:r>
            <w:rPr>
              <w:rFonts w:ascii="Arial" w:hAnsi="Arial"/>
              <w:b/>
              <w:color w:val="D4A243"/>
              <w:sz w:val="17"/>
            </w:rPr>
            <w:t>FINANCIAL PLANNING</w:t>
            <w:br/>
          </w:r>
          <w:r>
            <w:rPr>
              <w:rFonts w:ascii="Arial" w:hAnsi="Arial"/>
              <w:b/>
              <w:color w:val="2B2F38"/>
              <w:sz w:val="18"/>
            </w:rPr>
            <w:t>WORKSHEET 2.1</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